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65B137">
      <w:pPr>
        <w:tabs>
          <w:tab w:val="left" w:pos="4830"/>
        </w:tabs>
        <w:adjustRightInd w:val="0"/>
        <w:spacing w:before="120" w:after="120" w:line="360" w:lineRule="auto"/>
        <w:jc w:val="left"/>
        <w:textAlignment w:val="baseline"/>
        <w:rPr>
          <w:rFonts w:ascii="仿宋" w:hAnsi="仿宋" w:eastAsia="仿宋" w:cs="仿宋"/>
          <w:b/>
          <w:bCs/>
          <w:kern w:val="0"/>
          <w:sz w:val="84"/>
          <w:szCs w:val="24"/>
        </w:rPr>
      </w:pPr>
    </w:p>
    <w:p w14:paraId="43563D84">
      <w:pPr>
        <w:adjustRightInd w:val="0"/>
        <w:spacing w:before="120" w:after="120" w:line="360" w:lineRule="auto"/>
        <w:jc w:val="center"/>
        <w:textAlignment w:val="baseline"/>
        <w:outlineLvl w:val="0"/>
        <w:rPr>
          <w:rFonts w:ascii="仿宋" w:hAnsi="仿宋" w:eastAsia="仿宋" w:cs="仿宋"/>
          <w:b/>
          <w:bCs/>
          <w:kern w:val="0"/>
          <w:sz w:val="84"/>
          <w:szCs w:val="24"/>
        </w:rPr>
      </w:pPr>
      <w:bookmarkStart w:id="0" w:name="_Toc15109"/>
      <w:bookmarkStart w:id="1" w:name="_Toc28998"/>
      <w:bookmarkStart w:id="2" w:name="_Toc10112"/>
      <w:r>
        <w:rPr>
          <w:rFonts w:hint="eastAsia" w:ascii="仿宋" w:hAnsi="仿宋" w:eastAsia="仿宋" w:cs="仿宋"/>
          <w:b/>
          <w:bCs/>
          <w:kern w:val="0"/>
          <w:sz w:val="84"/>
          <w:szCs w:val="24"/>
        </w:rPr>
        <w:t>竞争性磋商文件</w:t>
      </w:r>
      <w:bookmarkEnd w:id="0"/>
      <w:bookmarkEnd w:id="1"/>
      <w:bookmarkEnd w:id="2"/>
    </w:p>
    <w:p w14:paraId="6A30AE37">
      <w:pPr>
        <w:adjustRightInd w:val="0"/>
        <w:spacing w:before="120" w:after="120" w:line="360" w:lineRule="auto"/>
        <w:ind w:firstLine="420"/>
        <w:jc w:val="center"/>
        <w:textAlignment w:val="baseline"/>
        <w:rPr>
          <w:rFonts w:hint="eastAsia" w:ascii="仿宋" w:hAnsi="仿宋" w:eastAsia="仿宋" w:cs="仿宋"/>
          <w:b/>
          <w:bCs/>
          <w:kern w:val="0"/>
          <w:sz w:val="32"/>
          <w:szCs w:val="24"/>
          <w:u w:val="single"/>
          <w:lang w:eastAsia="zh-CN"/>
        </w:rPr>
      </w:pPr>
      <w:r>
        <w:rPr>
          <w:rFonts w:hint="eastAsia" w:ascii="仿宋" w:hAnsi="仿宋" w:eastAsia="仿宋" w:cs="仿宋"/>
          <w:b/>
          <w:bCs/>
          <w:kern w:val="0"/>
          <w:sz w:val="32"/>
          <w:szCs w:val="24"/>
        </w:rPr>
        <w:t>项目名称：</w:t>
      </w:r>
      <w:r>
        <w:rPr>
          <w:rFonts w:hint="eastAsia" w:ascii="仿宋" w:hAnsi="仿宋" w:eastAsia="仿宋" w:cs="仿宋"/>
          <w:b/>
          <w:bCs/>
          <w:kern w:val="0"/>
          <w:sz w:val="32"/>
          <w:szCs w:val="24"/>
          <w:u w:val="single"/>
        </w:rPr>
        <w:t>如东县“苏服办”APP旗舰店改造项目</w:t>
      </w:r>
      <w:r>
        <w:rPr>
          <w:rFonts w:hint="eastAsia" w:ascii="仿宋" w:hAnsi="仿宋" w:eastAsia="仿宋" w:cs="仿宋"/>
          <w:b/>
          <w:bCs/>
          <w:kern w:val="0"/>
          <w:sz w:val="32"/>
          <w:szCs w:val="24"/>
          <w:u w:val="single"/>
          <w:lang w:eastAsia="zh-CN"/>
        </w:rPr>
        <w:t>（第二次）</w:t>
      </w:r>
    </w:p>
    <w:p w14:paraId="50FEB95D">
      <w:pPr>
        <w:ind w:left="2811" w:hanging="3213" w:hangingChars="1000"/>
        <w:jc w:val="center"/>
        <w:outlineLvl w:val="0"/>
        <w:rPr>
          <w:rFonts w:hint="eastAsia" w:ascii="仿宋" w:hAnsi="仿宋" w:eastAsia="仿宋" w:cs="仿宋"/>
          <w:b/>
          <w:bCs/>
          <w:kern w:val="0"/>
          <w:sz w:val="32"/>
          <w:szCs w:val="24"/>
          <w:lang w:eastAsia="zh-CN"/>
        </w:rPr>
      </w:pPr>
      <w:bookmarkStart w:id="3" w:name="_Toc11109"/>
      <w:bookmarkStart w:id="4" w:name="_Toc9771"/>
      <w:bookmarkStart w:id="5" w:name="_Toc15853"/>
      <w:r>
        <w:rPr>
          <w:rFonts w:hint="eastAsia" w:ascii="仿宋" w:hAnsi="仿宋" w:eastAsia="仿宋" w:cs="仿宋"/>
          <w:b/>
          <w:bCs/>
          <w:kern w:val="0"/>
          <w:sz w:val="32"/>
          <w:szCs w:val="24"/>
        </w:rPr>
        <w:t>项目编号：</w:t>
      </w:r>
      <w:bookmarkEnd w:id="3"/>
      <w:bookmarkEnd w:id="4"/>
      <w:bookmarkEnd w:id="5"/>
      <w:bookmarkStart w:id="6" w:name="_Toc2726"/>
      <w:bookmarkStart w:id="7" w:name="_Toc31007"/>
      <w:bookmarkStart w:id="8" w:name="_Toc24406"/>
      <w:r>
        <w:rPr>
          <w:rFonts w:hint="eastAsia" w:ascii="仿宋" w:hAnsi="仿宋" w:eastAsia="仿宋" w:cs="仿宋"/>
          <w:b/>
          <w:bCs/>
          <w:kern w:val="0"/>
          <w:sz w:val="32"/>
          <w:szCs w:val="24"/>
        </w:rPr>
        <w:t>JSZC-320623-JZCG-C2025-0080</w:t>
      </w:r>
      <w:r>
        <w:rPr>
          <w:rFonts w:hint="eastAsia" w:ascii="仿宋" w:hAnsi="仿宋" w:eastAsia="仿宋" w:cs="仿宋"/>
          <w:b/>
          <w:bCs/>
          <w:kern w:val="0"/>
          <w:sz w:val="32"/>
          <w:szCs w:val="24"/>
          <w:lang w:val="en-US" w:eastAsia="zh-CN"/>
        </w:rPr>
        <w:t xml:space="preserve"> </w:t>
      </w:r>
    </w:p>
    <w:p w14:paraId="01C5EAA5">
      <w:pPr>
        <w:ind w:left="2811" w:hanging="2811" w:hangingChars="1000"/>
        <w:jc w:val="center"/>
        <w:outlineLvl w:val="0"/>
        <w:rPr>
          <w:rFonts w:ascii="仿宋" w:hAnsi="仿宋" w:eastAsia="仿宋" w:cs="仿宋"/>
          <w:b/>
          <w:sz w:val="28"/>
          <w:szCs w:val="28"/>
        </w:rPr>
      </w:pPr>
      <w:r>
        <w:rPr>
          <w:rFonts w:hint="eastAsia" w:ascii="仿宋" w:hAnsi="仿宋" w:eastAsia="仿宋" w:cs="仿宋"/>
          <w:b/>
          <w:sz w:val="28"/>
          <w:szCs w:val="28"/>
        </w:rPr>
        <w:t>（全流程电子化，适用苏采云系统）</w:t>
      </w:r>
      <w:bookmarkEnd w:id="6"/>
      <w:bookmarkEnd w:id="7"/>
      <w:bookmarkEnd w:id="8"/>
    </w:p>
    <w:p w14:paraId="3CD6E1C3">
      <w:pPr>
        <w:adjustRightInd w:val="0"/>
        <w:spacing w:before="120" w:after="120" w:line="360" w:lineRule="auto"/>
        <w:ind w:firstLine="1470" w:firstLineChars="700"/>
        <w:jc w:val="left"/>
        <w:textAlignment w:val="baseline"/>
        <w:rPr>
          <w:rFonts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p>
    <w:p w14:paraId="5CAD126B">
      <w:pPr>
        <w:adjustRightInd w:val="0"/>
        <w:spacing w:line="360" w:lineRule="auto"/>
        <w:jc w:val="left"/>
        <w:textAlignment w:val="baseline"/>
        <w:rPr>
          <w:rFonts w:ascii="仿宋" w:hAnsi="仿宋" w:eastAsia="仿宋" w:cs="仿宋"/>
          <w:kern w:val="0"/>
          <w:sz w:val="24"/>
          <w:szCs w:val="24"/>
        </w:rPr>
      </w:pPr>
    </w:p>
    <w:p w14:paraId="6B58DAE4">
      <w:pPr>
        <w:adjustRightInd w:val="0"/>
        <w:spacing w:line="360" w:lineRule="auto"/>
        <w:jc w:val="left"/>
        <w:textAlignment w:val="baseline"/>
        <w:rPr>
          <w:rFonts w:ascii="仿宋" w:hAnsi="仿宋" w:eastAsia="仿宋" w:cs="仿宋"/>
          <w:kern w:val="0"/>
          <w:sz w:val="24"/>
          <w:szCs w:val="24"/>
        </w:rPr>
      </w:pPr>
    </w:p>
    <w:p w14:paraId="6CBA85B4">
      <w:pPr>
        <w:adjustRightInd w:val="0"/>
        <w:spacing w:line="360" w:lineRule="auto"/>
        <w:jc w:val="left"/>
        <w:textAlignment w:val="baseline"/>
        <w:rPr>
          <w:rFonts w:ascii="仿宋" w:hAnsi="仿宋" w:eastAsia="仿宋" w:cs="仿宋"/>
          <w:kern w:val="0"/>
          <w:sz w:val="24"/>
          <w:szCs w:val="24"/>
        </w:rPr>
      </w:pPr>
    </w:p>
    <w:p w14:paraId="0272A2FB">
      <w:pPr>
        <w:adjustRightInd w:val="0"/>
        <w:spacing w:line="360" w:lineRule="auto"/>
        <w:jc w:val="left"/>
        <w:textAlignment w:val="baseline"/>
        <w:rPr>
          <w:rFonts w:ascii="仿宋" w:hAnsi="仿宋" w:eastAsia="仿宋" w:cs="仿宋"/>
          <w:kern w:val="0"/>
          <w:sz w:val="24"/>
          <w:szCs w:val="24"/>
        </w:rPr>
      </w:pPr>
    </w:p>
    <w:p w14:paraId="7555B207">
      <w:pPr>
        <w:adjustRightInd w:val="0"/>
        <w:spacing w:line="360" w:lineRule="auto"/>
        <w:jc w:val="left"/>
        <w:textAlignment w:val="baseline"/>
        <w:rPr>
          <w:rFonts w:ascii="仿宋" w:hAnsi="仿宋" w:eastAsia="仿宋" w:cs="仿宋"/>
          <w:kern w:val="0"/>
          <w:sz w:val="24"/>
          <w:szCs w:val="24"/>
        </w:rPr>
      </w:pPr>
    </w:p>
    <w:p w14:paraId="4B068CB5">
      <w:pPr>
        <w:adjustRightInd w:val="0"/>
        <w:spacing w:line="360" w:lineRule="auto"/>
        <w:jc w:val="left"/>
        <w:textAlignment w:val="baseline"/>
        <w:rPr>
          <w:rFonts w:ascii="仿宋" w:hAnsi="仿宋" w:eastAsia="仿宋" w:cs="仿宋"/>
          <w:kern w:val="0"/>
          <w:sz w:val="24"/>
          <w:szCs w:val="24"/>
        </w:rPr>
      </w:pPr>
    </w:p>
    <w:p w14:paraId="1DA26E85">
      <w:pPr>
        <w:adjustRightInd w:val="0"/>
        <w:spacing w:line="360" w:lineRule="auto"/>
        <w:jc w:val="left"/>
        <w:textAlignment w:val="baseline"/>
        <w:rPr>
          <w:rFonts w:ascii="仿宋" w:hAnsi="仿宋" w:eastAsia="仿宋" w:cs="仿宋"/>
          <w:kern w:val="0"/>
          <w:sz w:val="24"/>
          <w:szCs w:val="24"/>
        </w:rPr>
      </w:pPr>
    </w:p>
    <w:p w14:paraId="270972B8">
      <w:pPr>
        <w:adjustRightInd w:val="0"/>
        <w:spacing w:line="360" w:lineRule="auto"/>
        <w:jc w:val="left"/>
        <w:textAlignment w:val="baseline"/>
        <w:rPr>
          <w:rFonts w:ascii="仿宋" w:hAnsi="仿宋" w:eastAsia="仿宋" w:cs="仿宋"/>
          <w:kern w:val="0"/>
          <w:sz w:val="24"/>
          <w:szCs w:val="24"/>
        </w:rPr>
      </w:pPr>
    </w:p>
    <w:p w14:paraId="53687649">
      <w:pPr>
        <w:adjustRightInd w:val="0"/>
        <w:spacing w:before="120" w:after="120" w:line="360" w:lineRule="auto"/>
        <w:jc w:val="center"/>
        <w:textAlignment w:val="baseline"/>
        <w:outlineLvl w:val="0"/>
        <w:rPr>
          <w:rFonts w:ascii="仿宋" w:hAnsi="仿宋" w:eastAsia="仿宋" w:cs="仿宋"/>
          <w:b/>
          <w:bCs/>
          <w:kern w:val="0"/>
          <w:sz w:val="32"/>
          <w:szCs w:val="24"/>
        </w:rPr>
      </w:pPr>
      <w:bookmarkStart w:id="9" w:name="_Toc1606"/>
      <w:bookmarkStart w:id="10" w:name="_Toc17627"/>
      <w:bookmarkStart w:id="11" w:name="_Toc29464"/>
      <w:r>
        <w:rPr>
          <w:rFonts w:hint="eastAsia" w:ascii="仿宋" w:hAnsi="仿宋" w:eastAsia="仿宋" w:cs="仿宋"/>
          <w:b/>
          <w:bCs/>
          <w:kern w:val="0"/>
          <w:sz w:val="32"/>
          <w:szCs w:val="24"/>
        </w:rPr>
        <w:t>如东县公共资源交易中心</w:t>
      </w:r>
      <w:bookmarkEnd w:id="9"/>
      <w:bookmarkEnd w:id="10"/>
      <w:bookmarkEnd w:id="11"/>
    </w:p>
    <w:p w14:paraId="31C8BE02">
      <w:pPr>
        <w:adjustRightInd w:val="0"/>
        <w:spacing w:before="120" w:after="120" w:line="360" w:lineRule="auto"/>
        <w:jc w:val="center"/>
        <w:textAlignment w:val="baseline"/>
        <w:rPr>
          <w:rFonts w:ascii="仿宋" w:hAnsi="仿宋" w:eastAsia="仿宋" w:cs="仿宋"/>
          <w:b/>
          <w:bCs/>
          <w:kern w:val="0"/>
          <w:sz w:val="32"/>
          <w:szCs w:val="24"/>
        </w:rPr>
      </w:pPr>
      <w:r>
        <w:rPr>
          <w:rFonts w:hint="eastAsia" w:ascii="仿宋" w:hAnsi="仿宋" w:eastAsia="仿宋" w:cs="仿宋"/>
          <w:b/>
          <w:bCs/>
          <w:kern w:val="0"/>
          <w:sz w:val="32"/>
          <w:szCs w:val="24"/>
        </w:rPr>
        <w:t>2025年12月</w:t>
      </w:r>
    </w:p>
    <w:p w14:paraId="221E1441">
      <w:pPr>
        <w:adjustRightInd w:val="0"/>
        <w:spacing w:before="120" w:after="120" w:line="360" w:lineRule="auto"/>
        <w:jc w:val="left"/>
        <w:textAlignment w:val="baseline"/>
        <w:rPr>
          <w:rFonts w:ascii="仿宋" w:hAnsi="仿宋" w:eastAsia="仿宋" w:cs="仿宋"/>
          <w:kern w:val="0"/>
          <w:sz w:val="24"/>
          <w:szCs w:val="24"/>
          <w:u w:val="single"/>
        </w:rPr>
      </w:pPr>
      <w:r>
        <w:rPr>
          <w:rFonts w:hint="eastAsia" w:ascii="仿宋" w:hAnsi="仿宋" w:eastAsia="仿宋" w:cs="仿宋"/>
          <w:kern w:val="0"/>
          <w:sz w:val="24"/>
          <w:szCs w:val="24"/>
        </w:rPr>
        <w:t xml:space="preserve">                        </w:t>
      </w:r>
    </w:p>
    <w:p w14:paraId="2D4546DC">
      <w:pPr>
        <w:adjustRightInd w:val="0"/>
        <w:spacing w:before="120" w:after="120" w:line="360" w:lineRule="auto"/>
        <w:jc w:val="center"/>
        <w:textAlignment w:val="baseline"/>
        <w:rPr>
          <w:rFonts w:ascii="仿宋" w:hAnsi="仿宋" w:eastAsia="仿宋" w:cs="仿宋"/>
          <w:kern w:val="0"/>
          <w:sz w:val="24"/>
          <w:szCs w:val="24"/>
        </w:rPr>
      </w:pPr>
    </w:p>
    <w:p w14:paraId="4194C43E">
      <w:pPr>
        <w:numPr>
          <w:ilvl w:val="0"/>
          <w:numId w:val="1"/>
        </w:numPr>
        <w:spacing w:line="480" w:lineRule="auto"/>
        <w:outlineLvl w:val="0"/>
        <w:rPr>
          <w:rFonts w:ascii="仿宋" w:hAnsi="仿宋" w:eastAsia="仿宋" w:cs="仿宋"/>
          <w:sz w:val="36"/>
          <w:szCs w:val="21"/>
        </w:rPr>
      </w:pPr>
      <w:r>
        <w:rPr>
          <w:rFonts w:hint="eastAsia" w:ascii="仿宋" w:hAnsi="仿宋" w:eastAsia="仿宋" w:cs="仿宋"/>
          <w:szCs w:val="21"/>
        </w:rPr>
        <w:br w:type="page"/>
      </w:r>
      <w:bookmarkStart w:id="12" w:name="_Toc120614210"/>
      <w:bookmarkStart w:id="13" w:name="_Toc523127445"/>
      <w:bookmarkStart w:id="14" w:name="_Toc20823272"/>
      <w:bookmarkStart w:id="15" w:name="_Toc513029200"/>
      <w:bookmarkStart w:id="16" w:name="_Toc479757206"/>
      <w:bookmarkStart w:id="17" w:name="_Toc16938516"/>
    </w:p>
    <w:sdt>
      <w:sdtPr>
        <w:rPr>
          <w:rFonts w:hint="eastAsia" w:ascii="仿宋" w:hAnsi="仿宋" w:eastAsia="仿宋" w:cs="仿宋"/>
          <w:sz w:val="44"/>
          <w:szCs w:val="44"/>
        </w:rPr>
        <w:id w:val="147461818"/>
        <w:docPartObj>
          <w:docPartGallery w:val="Table of Contents"/>
          <w:docPartUnique/>
        </w:docPartObj>
      </w:sdtPr>
      <w:sdtEndPr>
        <w:rPr>
          <w:rFonts w:hint="eastAsia" w:ascii="仿宋" w:hAnsi="仿宋" w:eastAsia="仿宋" w:cs="仿宋"/>
          <w:sz w:val="21"/>
          <w:szCs w:val="21"/>
        </w:rPr>
      </w:sdtEndPr>
      <w:sdtContent>
        <w:p w14:paraId="1CC85A2D">
          <w:pPr>
            <w:jc w:val="center"/>
            <w:rPr>
              <w:rFonts w:ascii="仿宋" w:hAnsi="仿宋" w:eastAsia="仿宋" w:cs="仿宋"/>
              <w:b/>
              <w:bCs/>
              <w:sz w:val="36"/>
              <w:szCs w:val="36"/>
            </w:rPr>
          </w:pPr>
          <w:r>
            <w:rPr>
              <w:rFonts w:hint="eastAsia" w:ascii="仿宋" w:hAnsi="仿宋" w:eastAsia="仿宋" w:cs="仿宋"/>
              <w:b/>
              <w:bCs/>
              <w:sz w:val="44"/>
              <w:szCs w:val="44"/>
            </w:rPr>
            <w:t>总 目 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sdt>
          <w:sdtPr>
            <w:rPr>
              <w:rFonts w:hint="eastAsia" w:ascii="仿宋" w:hAnsi="仿宋" w:eastAsia="仿宋" w:cs="仿宋"/>
              <w:sz w:val="36"/>
              <w:szCs w:val="36"/>
            </w:rPr>
            <w:id w:val="147468029"/>
            <w:docPartObj>
              <w:docPartGallery w:val="Table of Contents"/>
              <w:docPartUnique/>
            </w:docPartObj>
          </w:sdtPr>
          <w:sdtEndPr>
            <w:rPr>
              <w:rFonts w:hint="eastAsia" w:ascii="仿宋" w:hAnsi="仿宋" w:eastAsia="仿宋" w:cs="仿宋"/>
              <w:sz w:val="21"/>
              <w:szCs w:val="21"/>
            </w:rPr>
          </w:sdtEndPr>
          <w:sdtContent>
            <w:p w14:paraId="15DDC033">
              <w:pPr>
                <w:jc w:val="center"/>
                <w:rPr>
                  <w:rFonts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6D3ACEDE">
              <w:pPr>
                <w:pStyle w:val="10"/>
                <w:tabs>
                  <w:tab w:val="right" w:leader="dot" w:pos="8953"/>
                </w:tabs>
                <w:rPr>
                  <w:rFonts w:ascii="仿宋" w:hAnsi="仿宋" w:eastAsia="仿宋" w:cs="仿宋"/>
                  <w:b/>
                  <w:bCs/>
                  <w:sz w:val="36"/>
                  <w:szCs w:val="36"/>
                </w:rPr>
              </w:pPr>
              <w:r>
                <w:fldChar w:fldCharType="begin"/>
              </w:r>
              <w:r>
                <w:instrText xml:space="preserve"> HYPERLINK \l "_Toc31671" </w:instrText>
              </w:r>
              <w:r>
                <w:fldChar w:fldCharType="separate"/>
              </w:r>
              <w:r>
                <w:rPr>
                  <w:rFonts w:hint="eastAsia" w:ascii="仿宋" w:hAnsi="仿宋" w:eastAsia="仿宋" w:cs="仿宋"/>
                  <w:b/>
                  <w:bCs/>
                  <w:sz w:val="36"/>
                  <w:szCs w:val="36"/>
                </w:rPr>
                <w:t>第一章  磋商邀请</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_Toc31671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２</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3D260802">
              <w:pPr>
                <w:pStyle w:val="10"/>
                <w:tabs>
                  <w:tab w:val="right" w:leader="dot" w:pos="8953"/>
                </w:tabs>
                <w:rPr>
                  <w:rFonts w:ascii="仿宋" w:hAnsi="仿宋" w:eastAsia="仿宋" w:cs="仿宋"/>
                  <w:b/>
                  <w:bCs/>
                  <w:sz w:val="36"/>
                  <w:szCs w:val="36"/>
                </w:rPr>
              </w:pPr>
              <w:r>
                <w:fldChar w:fldCharType="begin"/>
              </w:r>
              <w:r>
                <w:instrText xml:space="preserve"> HYPERLINK \l "_Toc16207" </w:instrText>
              </w:r>
              <w:r>
                <w:fldChar w:fldCharType="separate"/>
              </w:r>
              <w:r>
                <w:rPr>
                  <w:rFonts w:hint="eastAsia" w:ascii="仿宋" w:hAnsi="仿宋" w:eastAsia="仿宋" w:cs="仿宋"/>
                  <w:b/>
                  <w:bCs/>
                  <w:sz w:val="36"/>
                  <w:szCs w:val="36"/>
                </w:rPr>
                <w:t>第二章  供应商须知</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_Toc16207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７</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0CBF890F">
              <w:pPr>
                <w:pStyle w:val="10"/>
                <w:tabs>
                  <w:tab w:val="right" w:leader="dot" w:pos="8953"/>
                </w:tabs>
                <w:rPr>
                  <w:rFonts w:ascii="仿宋" w:hAnsi="仿宋" w:eastAsia="仿宋" w:cs="仿宋"/>
                  <w:b/>
                  <w:bCs/>
                  <w:sz w:val="36"/>
                  <w:szCs w:val="36"/>
                </w:rPr>
              </w:pPr>
              <w:r>
                <w:fldChar w:fldCharType="begin"/>
              </w:r>
              <w:r>
                <w:instrText xml:space="preserve"> HYPERLINK \l "_Toc20527" </w:instrText>
              </w:r>
              <w:r>
                <w:fldChar w:fldCharType="separate"/>
              </w:r>
              <w:r>
                <w:rPr>
                  <w:rFonts w:hint="eastAsia" w:ascii="仿宋" w:hAnsi="仿宋" w:eastAsia="仿宋" w:cs="仿宋"/>
                  <w:b/>
                  <w:bCs/>
                  <w:sz w:val="36"/>
                  <w:szCs w:val="36"/>
                </w:rPr>
                <w:t>第三章  合同文本</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_Toc20527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２０</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620130F3">
              <w:pPr>
                <w:pStyle w:val="10"/>
                <w:tabs>
                  <w:tab w:val="right" w:leader="dot" w:pos="8953"/>
                </w:tabs>
                <w:rPr>
                  <w:rFonts w:ascii="仿宋" w:hAnsi="仿宋" w:eastAsia="仿宋" w:cs="仿宋"/>
                  <w:b/>
                  <w:bCs/>
                  <w:sz w:val="36"/>
                  <w:szCs w:val="36"/>
                </w:rPr>
              </w:pPr>
              <w:r>
                <w:fldChar w:fldCharType="begin"/>
              </w:r>
              <w:r>
                <w:instrText xml:space="preserve"> HYPERLINK \l "_Toc20693" </w:instrText>
              </w:r>
              <w:r>
                <w:fldChar w:fldCharType="separate"/>
              </w:r>
              <w:r>
                <w:rPr>
                  <w:rFonts w:hint="eastAsia" w:ascii="仿宋" w:hAnsi="仿宋" w:eastAsia="仿宋" w:cs="仿宋"/>
                  <w:b/>
                  <w:bCs/>
                  <w:sz w:val="36"/>
                  <w:szCs w:val="36"/>
                </w:rPr>
                <w:t>第四章  采购需求</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_Toc20693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２５</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6478F912">
              <w:pPr>
                <w:pStyle w:val="10"/>
                <w:tabs>
                  <w:tab w:val="right" w:leader="dot" w:pos="8953"/>
                </w:tabs>
                <w:rPr>
                  <w:rFonts w:ascii="仿宋" w:hAnsi="仿宋" w:eastAsia="仿宋" w:cs="仿宋"/>
                  <w:b/>
                  <w:bCs/>
                  <w:sz w:val="36"/>
                  <w:szCs w:val="36"/>
                </w:rPr>
              </w:pPr>
              <w:r>
                <w:fldChar w:fldCharType="begin"/>
              </w:r>
              <w:r>
                <w:instrText xml:space="preserve"> HYPERLINK \l "_Toc88" </w:instrText>
              </w:r>
              <w:r>
                <w:fldChar w:fldCharType="separate"/>
              </w:r>
              <w:r>
                <w:rPr>
                  <w:rFonts w:hint="eastAsia" w:ascii="仿宋" w:hAnsi="仿宋" w:eastAsia="仿宋" w:cs="仿宋"/>
                  <w:b/>
                  <w:bCs/>
                  <w:sz w:val="36"/>
                  <w:szCs w:val="36"/>
                </w:rPr>
                <w:t>第五章  评审方法与评审标准</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_Toc88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２９</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2405A8CF">
              <w:pPr>
                <w:pStyle w:val="10"/>
                <w:tabs>
                  <w:tab w:val="right" w:leader="dot" w:pos="8953"/>
                </w:tabs>
                <w:rPr>
                  <w:rFonts w:ascii="仿宋" w:hAnsi="仿宋" w:eastAsia="仿宋" w:cs="仿宋"/>
                  <w:b/>
                  <w:bCs/>
                  <w:sz w:val="36"/>
                  <w:szCs w:val="36"/>
                </w:rPr>
              </w:pPr>
              <w:r>
                <w:fldChar w:fldCharType="begin"/>
              </w:r>
              <w:r>
                <w:instrText xml:space="preserve"> HYPERLINK \l "_Toc806" </w:instrText>
              </w:r>
              <w:r>
                <w:fldChar w:fldCharType="separate"/>
              </w:r>
              <w:r>
                <w:rPr>
                  <w:rFonts w:hint="eastAsia" w:ascii="仿宋" w:hAnsi="仿宋" w:eastAsia="仿宋" w:cs="仿宋"/>
                  <w:b/>
                  <w:bCs/>
                  <w:sz w:val="36"/>
                  <w:szCs w:val="36"/>
                </w:rPr>
                <w:t>第六章  响应文件格式</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_Toc806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３２</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5E56B347">
              <w:pPr>
                <w:pStyle w:val="10"/>
                <w:tabs>
                  <w:tab w:val="right" w:leader="dot" w:pos="8953"/>
                </w:tabs>
                <w:rPr>
                  <w:rFonts w:ascii="仿宋" w:hAnsi="仿宋" w:eastAsia="仿宋" w:cs="仿宋"/>
                  <w:b/>
                  <w:bCs/>
                  <w:sz w:val="36"/>
                  <w:szCs w:val="36"/>
                </w:rPr>
              </w:pPr>
            </w:p>
            <w:p w14:paraId="442119EC">
              <w:pPr>
                <w:pStyle w:val="10"/>
                <w:tabs>
                  <w:tab w:val="right" w:leader="dot" w:pos="8953"/>
                </w:tabs>
                <w:rPr>
                  <w:rFonts w:ascii="仿宋" w:hAnsi="仿宋" w:eastAsia="仿宋" w:cs="仿宋"/>
                  <w:b/>
                  <w:bCs/>
                  <w:sz w:val="36"/>
                  <w:szCs w:val="36"/>
                </w:rPr>
              </w:pPr>
              <w:r>
                <w:rPr>
                  <w:rFonts w:hint="eastAsia" w:ascii="仿宋" w:hAnsi="仿宋" w:eastAsia="仿宋" w:cs="仿宋"/>
                  <w:b/>
                  <w:bCs/>
                  <w:sz w:val="36"/>
                  <w:szCs w:val="36"/>
                </w:rPr>
                <w:fldChar w:fldCharType="end"/>
              </w:r>
            </w:p>
          </w:sdtContent>
        </w:sdt>
        <w:p w14:paraId="1C793080">
          <w:pPr>
            <w:pStyle w:val="10"/>
            <w:tabs>
              <w:tab w:val="right" w:leader="dot" w:pos="8953"/>
            </w:tabs>
            <w:rPr>
              <w:rFonts w:ascii="仿宋" w:hAnsi="仿宋" w:eastAsia="仿宋" w:cs="仿宋"/>
              <w:b/>
              <w:bCs/>
              <w:sz w:val="36"/>
              <w:szCs w:val="36"/>
            </w:rPr>
          </w:pPr>
        </w:p>
        <w:p w14:paraId="71545FCF">
          <w:pPr>
            <w:rPr>
              <w:rFonts w:ascii="仿宋" w:hAnsi="仿宋" w:eastAsia="仿宋" w:cs="仿宋"/>
              <w:szCs w:val="21"/>
            </w:rPr>
          </w:pPr>
          <w:r>
            <w:rPr>
              <w:rFonts w:hint="eastAsia" w:ascii="仿宋" w:hAnsi="仿宋" w:eastAsia="仿宋" w:cs="仿宋"/>
              <w:b/>
              <w:bCs/>
              <w:sz w:val="36"/>
              <w:szCs w:val="36"/>
            </w:rPr>
            <w:fldChar w:fldCharType="end"/>
          </w:r>
        </w:p>
      </w:sdtContent>
    </w:sdt>
    <w:p w14:paraId="0A4375E2">
      <w:pPr>
        <w:rPr>
          <w:rFonts w:ascii="仿宋" w:hAnsi="仿宋" w:eastAsia="仿宋" w:cs="仿宋"/>
          <w:szCs w:val="21"/>
        </w:rPr>
      </w:pPr>
    </w:p>
    <w:p w14:paraId="38DE9BCF">
      <w:pPr>
        <w:rPr>
          <w:rFonts w:ascii="仿宋" w:hAnsi="仿宋" w:eastAsia="仿宋" w:cs="仿宋"/>
          <w:szCs w:val="21"/>
        </w:rPr>
      </w:pPr>
    </w:p>
    <w:p w14:paraId="0E9331B3">
      <w:pPr>
        <w:rPr>
          <w:rFonts w:ascii="仿宋" w:hAnsi="仿宋" w:eastAsia="仿宋" w:cs="仿宋"/>
          <w:szCs w:val="21"/>
        </w:rPr>
      </w:pPr>
    </w:p>
    <w:p w14:paraId="468F9A0F">
      <w:pPr>
        <w:rPr>
          <w:rFonts w:ascii="仿宋" w:hAnsi="仿宋" w:eastAsia="仿宋" w:cs="仿宋"/>
          <w:szCs w:val="21"/>
        </w:rPr>
      </w:pPr>
    </w:p>
    <w:p w14:paraId="4D75990E">
      <w:pPr>
        <w:rPr>
          <w:rFonts w:ascii="仿宋" w:hAnsi="仿宋" w:eastAsia="仿宋" w:cs="仿宋"/>
          <w:sz w:val="28"/>
          <w:szCs w:val="28"/>
        </w:rPr>
      </w:pPr>
    </w:p>
    <w:p w14:paraId="11F6C5FF">
      <w:pPr>
        <w:rPr>
          <w:rFonts w:ascii="仿宋" w:hAnsi="仿宋" w:eastAsia="仿宋" w:cs="仿宋"/>
          <w:szCs w:val="21"/>
        </w:rPr>
      </w:pPr>
    </w:p>
    <w:p w14:paraId="286CA3CD">
      <w:pPr>
        <w:rPr>
          <w:rFonts w:ascii="仿宋" w:hAnsi="仿宋" w:eastAsia="仿宋" w:cs="仿宋"/>
          <w:szCs w:val="21"/>
        </w:rPr>
      </w:pPr>
    </w:p>
    <w:p w14:paraId="1496127F">
      <w:pPr>
        <w:rPr>
          <w:rFonts w:ascii="仿宋" w:hAnsi="仿宋" w:eastAsia="仿宋" w:cs="仿宋"/>
          <w:szCs w:val="21"/>
        </w:rPr>
      </w:pPr>
    </w:p>
    <w:p w14:paraId="7BF91A41">
      <w:pPr>
        <w:rPr>
          <w:rFonts w:ascii="仿宋" w:hAnsi="仿宋" w:eastAsia="仿宋" w:cs="仿宋"/>
          <w:szCs w:val="21"/>
        </w:rPr>
      </w:pPr>
    </w:p>
    <w:p w14:paraId="56310297">
      <w:pPr>
        <w:rPr>
          <w:rFonts w:ascii="仿宋" w:hAnsi="仿宋" w:eastAsia="仿宋" w:cs="仿宋"/>
          <w:szCs w:val="21"/>
        </w:rPr>
      </w:pPr>
    </w:p>
    <w:p w14:paraId="53E205BD">
      <w:pPr>
        <w:rPr>
          <w:rFonts w:ascii="仿宋" w:hAnsi="仿宋" w:eastAsia="仿宋" w:cs="仿宋"/>
          <w:szCs w:val="21"/>
        </w:rPr>
      </w:pPr>
    </w:p>
    <w:p w14:paraId="35C07088">
      <w:pPr>
        <w:rPr>
          <w:rFonts w:ascii="仿宋" w:hAnsi="仿宋" w:eastAsia="仿宋" w:cs="仿宋"/>
          <w:szCs w:val="21"/>
        </w:rPr>
      </w:pPr>
    </w:p>
    <w:p w14:paraId="07A4592E">
      <w:pPr>
        <w:rPr>
          <w:rFonts w:ascii="仿宋" w:hAnsi="仿宋" w:eastAsia="仿宋" w:cs="仿宋"/>
          <w:szCs w:val="21"/>
        </w:rPr>
      </w:pPr>
    </w:p>
    <w:p w14:paraId="44B7E9EF">
      <w:pPr>
        <w:rPr>
          <w:rFonts w:ascii="仿宋" w:hAnsi="仿宋" w:eastAsia="仿宋" w:cs="仿宋"/>
          <w:szCs w:val="21"/>
        </w:rPr>
      </w:pPr>
    </w:p>
    <w:p w14:paraId="63A871B1">
      <w:pPr>
        <w:rPr>
          <w:rFonts w:ascii="仿宋" w:hAnsi="仿宋" w:eastAsia="仿宋" w:cs="仿宋"/>
          <w:szCs w:val="21"/>
        </w:rPr>
      </w:pPr>
    </w:p>
    <w:p w14:paraId="44988EC1">
      <w:pPr>
        <w:rPr>
          <w:rFonts w:ascii="仿宋" w:hAnsi="仿宋" w:eastAsia="仿宋" w:cs="仿宋"/>
          <w:szCs w:val="21"/>
        </w:rPr>
      </w:pPr>
    </w:p>
    <w:p w14:paraId="74EEF805">
      <w:pPr>
        <w:rPr>
          <w:rFonts w:ascii="仿宋" w:hAnsi="仿宋" w:eastAsia="仿宋" w:cs="仿宋"/>
          <w:szCs w:val="21"/>
        </w:rPr>
      </w:pPr>
    </w:p>
    <w:p w14:paraId="6B50DF33">
      <w:pPr>
        <w:rPr>
          <w:rFonts w:ascii="仿宋" w:hAnsi="仿宋" w:eastAsia="仿宋" w:cs="仿宋"/>
          <w:szCs w:val="21"/>
        </w:rPr>
      </w:pPr>
    </w:p>
    <w:p w14:paraId="0DFAC3FE">
      <w:pPr>
        <w:rPr>
          <w:rFonts w:ascii="仿宋" w:hAnsi="仿宋" w:eastAsia="仿宋" w:cs="仿宋"/>
          <w:szCs w:val="21"/>
        </w:rPr>
      </w:pPr>
    </w:p>
    <w:p w14:paraId="579AA442">
      <w:pPr>
        <w:keepNext/>
        <w:outlineLvl w:val="0"/>
        <w:rPr>
          <w:rFonts w:ascii="仿宋" w:hAnsi="仿宋" w:eastAsia="仿宋" w:cs="仿宋"/>
          <w:sz w:val="44"/>
          <w:szCs w:val="44"/>
        </w:rPr>
      </w:pPr>
      <w:bookmarkStart w:id="18" w:name="_Toc31671"/>
      <w:bookmarkStart w:id="19" w:name="_Toc28664"/>
      <w:bookmarkStart w:id="20" w:name="_Toc5588"/>
    </w:p>
    <w:p w14:paraId="2AA79419">
      <w:pPr>
        <w:rPr>
          <w:rFonts w:ascii="仿宋" w:hAnsi="仿宋" w:eastAsia="仿宋" w:cs="仿宋"/>
          <w:b/>
          <w:bCs/>
          <w:sz w:val="44"/>
          <w:szCs w:val="44"/>
        </w:rPr>
      </w:pPr>
      <w:r>
        <w:rPr>
          <w:rFonts w:hint="eastAsia" w:ascii="仿宋" w:hAnsi="仿宋" w:eastAsia="仿宋" w:cs="仿宋"/>
          <w:b/>
          <w:bCs/>
          <w:sz w:val="44"/>
          <w:szCs w:val="44"/>
        </w:rPr>
        <w:br w:type="page"/>
      </w:r>
    </w:p>
    <w:p w14:paraId="064EAC5E">
      <w:pPr>
        <w:keepNext/>
        <w:jc w:val="center"/>
        <w:outlineLvl w:val="0"/>
        <w:rPr>
          <w:rFonts w:ascii="仿宋" w:hAnsi="仿宋" w:eastAsia="仿宋" w:cs="仿宋"/>
          <w:b/>
          <w:bCs/>
          <w:sz w:val="44"/>
          <w:szCs w:val="44"/>
        </w:rPr>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磋商邀请</w:t>
      </w:r>
      <w:bookmarkEnd w:id="18"/>
      <w:bookmarkEnd w:id="19"/>
      <w:bookmarkEnd w:id="20"/>
    </w:p>
    <w:p w14:paraId="33B0F731">
      <w:pPr>
        <w:ind w:firstLine="480" w:firstLineChars="200"/>
        <w:rPr>
          <w:rFonts w:ascii="仿宋" w:hAnsi="仿宋" w:eastAsia="仿宋" w:cs="仿宋"/>
          <w:sz w:val="24"/>
          <w:szCs w:val="24"/>
        </w:rPr>
      </w:pPr>
      <w:r>
        <w:rPr>
          <w:rFonts w:hint="eastAsia" w:ascii="仿宋" w:hAnsi="仿宋" w:eastAsia="仿宋" w:cs="仿宋"/>
          <w:sz w:val="24"/>
          <w:szCs w:val="24"/>
          <w:highlight w:val="none"/>
        </w:rPr>
        <w:t>受[如东县数据局]的委托，如东县公共资源交易中心就[如东县“苏服办”APP旗舰店改造项目</w:t>
      </w:r>
      <w:r>
        <w:rPr>
          <w:rFonts w:hint="eastAsia" w:ascii="仿宋" w:hAnsi="仿宋" w:eastAsia="仿宋" w:cs="仿宋"/>
          <w:sz w:val="24"/>
          <w:szCs w:val="24"/>
          <w:highlight w:val="none"/>
          <w:lang w:eastAsia="zh-CN"/>
        </w:rPr>
        <w:t>（第二次）</w:t>
      </w:r>
      <w:r>
        <w:rPr>
          <w:rFonts w:hint="eastAsia" w:ascii="仿宋" w:hAnsi="仿宋" w:eastAsia="仿宋" w:cs="仿宋"/>
          <w:sz w:val="24"/>
          <w:szCs w:val="24"/>
          <w:highlight w:val="none"/>
        </w:rPr>
        <w:t>]([JSZC-320623-JZCG-C2025-0080])项目进</w:t>
      </w:r>
      <w:r>
        <w:rPr>
          <w:rFonts w:hint="eastAsia" w:ascii="仿宋" w:hAnsi="仿宋" w:eastAsia="仿宋" w:cs="仿宋"/>
          <w:sz w:val="24"/>
          <w:szCs w:val="24"/>
        </w:rPr>
        <w:t>行竞争性磋商采购，欢迎符合条件的供应商参加磋商。</w:t>
      </w:r>
    </w:p>
    <w:p w14:paraId="4905C481">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rPr>
        <w:t>项目概况</w:t>
      </w:r>
    </w:p>
    <w:p w14:paraId="06D7EE0D">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u w:val="single"/>
        </w:rPr>
        <w:t xml:space="preserve"> 如东县“苏服办”APP旗舰店</w:t>
      </w:r>
      <w:r>
        <w:rPr>
          <w:rFonts w:hint="eastAsia" w:ascii="仿宋" w:hAnsi="仿宋" w:eastAsia="仿宋" w:cs="仿宋"/>
          <w:sz w:val="24"/>
          <w:szCs w:val="24"/>
          <w:u w:val="single"/>
          <w:lang w:eastAsia="zh-CN"/>
        </w:rPr>
        <w:t>改造</w:t>
      </w:r>
      <w:r>
        <w:rPr>
          <w:rFonts w:hint="eastAsia" w:ascii="仿宋" w:hAnsi="仿宋" w:eastAsia="仿宋" w:cs="仿宋"/>
          <w:sz w:val="24"/>
          <w:szCs w:val="24"/>
          <w:u w:val="single"/>
        </w:rPr>
        <w:t>项目</w:t>
      </w:r>
      <w:r>
        <w:rPr>
          <w:rFonts w:hint="eastAsia" w:ascii="仿宋" w:hAnsi="仿宋" w:eastAsia="仿宋" w:cs="仿宋"/>
          <w:sz w:val="24"/>
          <w:szCs w:val="24"/>
          <w:u w:val="single"/>
          <w:lang w:eastAsia="zh-CN"/>
        </w:rPr>
        <w:t>（第二次）</w:t>
      </w:r>
      <w:r>
        <w:rPr>
          <w:rFonts w:hint="eastAsia" w:ascii="仿宋" w:hAnsi="仿宋" w:eastAsia="仿宋" w:cs="仿宋"/>
          <w:sz w:val="24"/>
          <w:szCs w:val="24"/>
        </w:rPr>
        <w:t>竞争性磋商项目的潜在供应商可在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磋商文件，</w:t>
      </w:r>
      <w:r>
        <w:rPr>
          <w:rFonts w:hint="eastAsia" w:ascii="仿宋" w:hAnsi="仿宋" w:eastAsia="仿宋" w:cs="仿宋"/>
          <w:sz w:val="24"/>
          <w:szCs w:val="24"/>
          <w:highlight w:val="none"/>
        </w:rPr>
        <w:t>并于</w:t>
      </w:r>
      <w:r>
        <w:rPr>
          <w:rFonts w:hint="eastAsia" w:ascii="仿宋" w:hAnsi="仿宋" w:eastAsia="仿宋" w:cs="仿宋"/>
          <w:sz w:val="24"/>
          <w:szCs w:val="24"/>
          <w:highlight w:val="none"/>
          <w:u w:val="single"/>
          <w:lang w:val="en-US" w:eastAsia="zh-CN"/>
        </w:rPr>
        <w:t>2026</w:t>
      </w:r>
      <w:r>
        <w:rPr>
          <w:rFonts w:hint="eastAsia" w:ascii="仿宋" w:hAnsi="仿宋" w:eastAsia="仿宋" w:cs="仿宋"/>
          <w:bCs/>
          <w:sz w:val="24"/>
          <w:szCs w:val="24"/>
          <w:highlight w:val="none"/>
          <w:u w:val="single"/>
        </w:rPr>
        <w:t>年</w:t>
      </w:r>
      <w:r>
        <w:rPr>
          <w:rFonts w:hint="eastAsia" w:ascii="仿宋" w:hAnsi="仿宋" w:eastAsia="仿宋" w:cs="仿宋"/>
          <w:bCs/>
          <w:sz w:val="24"/>
          <w:szCs w:val="24"/>
          <w:highlight w:val="none"/>
          <w:u w:val="single"/>
          <w:lang w:val="en-US" w:eastAsia="zh-CN"/>
        </w:rPr>
        <w:t>1</w:t>
      </w:r>
      <w:r>
        <w:rPr>
          <w:rFonts w:hint="eastAsia" w:ascii="仿宋" w:hAnsi="仿宋" w:eastAsia="仿宋" w:cs="仿宋"/>
          <w:bCs/>
          <w:sz w:val="24"/>
          <w:szCs w:val="24"/>
          <w:highlight w:val="none"/>
          <w:u w:val="single"/>
        </w:rPr>
        <w:t>月</w:t>
      </w:r>
      <w:r>
        <w:rPr>
          <w:rFonts w:hint="eastAsia" w:ascii="仿宋" w:hAnsi="仿宋" w:eastAsia="仿宋" w:cs="仿宋"/>
          <w:bCs/>
          <w:sz w:val="24"/>
          <w:szCs w:val="24"/>
          <w:highlight w:val="none"/>
          <w:u w:val="single"/>
          <w:lang w:val="en-US" w:eastAsia="zh-CN"/>
        </w:rPr>
        <w:t>6</w:t>
      </w:r>
      <w:r>
        <w:rPr>
          <w:rFonts w:hint="eastAsia" w:ascii="仿宋" w:hAnsi="仿宋" w:eastAsia="仿宋" w:cs="仿宋"/>
          <w:bCs/>
          <w:sz w:val="24"/>
          <w:szCs w:val="24"/>
          <w:highlight w:val="none"/>
          <w:u w:val="single"/>
        </w:rPr>
        <w:t>日 8 点30分（</w:t>
      </w:r>
      <w:r>
        <w:rPr>
          <w:rFonts w:hint="eastAsia" w:ascii="仿宋" w:hAnsi="仿宋" w:eastAsia="仿宋" w:cs="仿宋"/>
          <w:bCs/>
          <w:sz w:val="24"/>
          <w:szCs w:val="24"/>
          <w:highlight w:val="none"/>
        </w:rPr>
        <w:t>北</w:t>
      </w:r>
      <w:r>
        <w:rPr>
          <w:rFonts w:hint="eastAsia" w:ascii="仿宋" w:hAnsi="仿宋" w:eastAsia="仿宋" w:cs="仿宋"/>
          <w:bCs/>
          <w:sz w:val="24"/>
          <w:szCs w:val="24"/>
        </w:rPr>
        <w:t>京时间）前递交响应文件</w:t>
      </w:r>
      <w:r>
        <w:rPr>
          <w:rFonts w:hint="eastAsia" w:ascii="仿宋" w:hAnsi="仿宋" w:eastAsia="仿宋" w:cs="仿宋"/>
          <w:sz w:val="24"/>
          <w:szCs w:val="24"/>
        </w:rPr>
        <w:t>。</w:t>
      </w:r>
    </w:p>
    <w:p w14:paraId="20440949">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21" w:name="_Toc35393790"/>
      <w:bookmarkStart w:id="22" w:name="_Toc28359002"/>
      <w:bookmarkStart w:id="23" w:name="_Toc28359079"/>
      <w:bookmarkStart w:id="24" w:name="_Toc35393621"/>
      <w:bookmarkStart w:id="25" w:name="_Toc38985263"/>
      <w:bookmarkStart w:id="26" w:name="_Hlk24379207"/>
      <w:r>
        <w:rPr>
          <w:rFonts w:hint="eastAsia" w:ascii="仿宋" w:hAnsi="仿宋" w:eastAsia="仿宋" w:cs="仿宋"/>
          <w:b/>
          <w:bCs/>
          <w:sz w:val="32"/>
          <w:szCs w:val="32"/>
        </w:rPr>
        <w:t>一、项目基本情况</w:t>
      </w:r>
      <w:bookmarkEnd w:id="21"/>
      <w:bookmarkEnd w:id="22"/>
      <w:bookmarkEnd w:id="23"/>
      <w:bookmarkEnd w:id="24"/>
      <w:bookmarkEnd w:id="25"/>
      <w:bookmarkStart w:id="229" w:name="_GoBack"/>
      <w:bookmarkEnd w:id="229"/>
    </w:p>
    <w:p w14:paraId="0D636502">
      <w:pPr>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1.项目编号：JSZC-320623-JZCG-C2025-0080</w:t>
      </w:r>
    </w:p>
    <w:p w14:paraId="4B6C3F7E">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2.项目名称：如东县“苏服办”APP旗舰店改造项目</w:t>
      </w:r>
      <w:r>
        <w:rPr>
          <w:rFonts w:hint="eastAsia" w:ascii="仿宋" w:hAnsi="仿宋" w:eastAsia="仿宋" w:cs="仿宋"/>
          <w:sz w:val="24"/>
          <w:szCs w:val="24"/>
          <w:lang w:eastAsia="zh-CN"/>
        </w:rPr>
        <w:t>（第二次）</w:t>
      </w:r>
    </w:p>
    <w:p w14:paraId="4E84D34F">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3.采购方式：竞争性磋商</w:t>
      </w:r>
    </w:p>
    <w:p w14:paraId="65217E02">
      <w:pPr>
        <w:ind w:firstLine="480" w:firstLineChars="200"/>
        <w:rPr>
          <w:rFonts w:ascii="仿宋" w:hAnsi="仿宋" w:eastAsia="仿宋" w:cs="仿宋"/>
          <w:color w:val="000000" w:themeColor="text1"/>
          <w:kern w:val="0"/>
          <w:sz w:val="24"/>
          <w:szCs w:val="24"/>
          <w:highlight w:val="gree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4.项目类型：服务</w:t>
      </w:r>
    </w:p>
    <w:p w14:paraId="562EB195">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5.所属行业：</w:t>
      </w:r>
      <w:r>
        <w:rPr>
          <w:rFonts w:hint="eastAsia" w:ascii="仿宋" w:hAnsi="仿宋" w:eastAsia="仿宋" w:cs="仿宋"/>
          <w:sz w:val="24"/>
          <w:szCs w:val="24"/>
        </w:rPr>
        <w:t>软件和信息技术服务</w:t>
      </w:r>
    </w:p>
    <w:bookmarkEnd w:id="26"/>
    <w:p w14:paraId="59DEA763">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6.预算金额：40万元</w:t>
      </w:r>
    </w:p>
    <w:p w14:paraId="25E16605">
      <w:pPr>
        <w:ind w:firstLine="480" w:firstLineChars="200"/>
        <w:rPr>
          <w:rFonts w:hint="eastAsia" w:ascii="仿宋" w:hAnsi="仿宋" w:eastAsia="仿宋" w:cs="仿宋"/>
          <w:color w:val="FF0000"/>
          <w:sz w:val="24"/>
          <w:szCs w:val="24"/>
          <w:lang w:val="en-US" w:eastAsia="zh-CN"/>
        </w:rPr>
      </w:pPr>
      <w:r>
        <w:rPr>
          <w:rFonts w:hint="eastAsia" w:ascii="仿宋" w:hAnsi="仿宋" w:eastAsia="仿宋" w:cs="仿宋"/>
          <w:color w:val="000000" w:themeColor="text1"/>
          <w:sz w:val="24"/>
          <w:szCs w:val="24"/>
          <w14:textFill>
            <w14:solidFill>
              <w14:schemeClr w14:val="tx1"/>
            </w14:solidFill>
          </w14:textFill>
        </w:rPr>
        <w:t>最高限价（如有）：</w:t>
      </w:r>
      <w:r>
        <w:rPr>
          <w:rFonts w:hint="eastAsia" w:ascii="仿宋" w:hAnsi="仿宋" w:eastAsia="仿宋" w:cs="仿宋"/>
          <w:color w:val="000000" w:themeColor="text1"/>
          <w:sz w:val="24"/>
          <w:szCs w:val="24"/>
          <w:lang w:val="en-US" w:eastAsia="zh-CN"/>
          <w14:textFill>
            <w14:solidFill>
              <w14:schemeClr w14:val="tx1"/>
            </w14:solidFill>
          </w14:textFill>
        </w:rPr>
        <w:t>/</w:t>
      </w:r>
    </w:p>
    <w:p w14:paraId="3A32D512">
      <w:pPr>
        <w:ind w:firstLine="480" w:firstLineChars="200"/>
        <w:rPr>
          <w:rFonts w:ascii="仿宋" w:hAnsi="仿宋" w:eastAsia="仿宋" w:cs="仿宋"/>
          <w:sz w:val="24"/>
          <w:szCs w:val="24"/>
          <w:u w:val="single"/>
        </w:rPr>
      </w:pPr>
      <w:r>
        <w:rPr>
          <w:rFonts w:hint="eastAsia" w:ascii="仿宋" w:hAnsi="仿宋" w:eastAsia="仿宋" w:cs="仿宋"/>
          <w:sz w:val="24"/>
          <w:szCs w:val="24"/>
        </w:rPr>
        <w:t>7.采购需求（简介）：</w:t>
      </w:r>
      <w:r>
        <w:rPr>
          <w:rFonts w:hint="eastAsia" w:ascii="仿宋" w:hAnsi="仿宋" w:eastAsia="仿宋" w:cs="仿宋"/>
          <w:kern w:val="0"/>
          <w:sz w:val="24"/>
          <w:szCs w:val="24"/>
        </w:rPr>
        <w:t>本项目旨在通过改版“苏服办”APP如东旗舰店、建设支付宝小程序、完成鸿蒙系统适配、移植现有功能模块、实现多端用户体系对接等方式，构建统一、便捷、智能的政务服务平台，提升服务覆盖面和用户体验。详细内容见本磋商文件第四章。</w:t>
      </w:r>
    </w:p>
    <w:p w14:paraId="6F913512">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8.合同履行期限：</w:t>
      </w:r>
      <w:r>
        <w:rPr>
          <w:rFonts w:hint="eastAsia" w:ascii="仿宋" w:hAnsi="仿宋" w:eastAsia="仿宋" w:cs="仿宋"/>
          <w:sz w:val="24"/>
          <w:szCs w:val="24"/>
        </w:rPr>
        <w:t>从合同签订之日起，2个月内完成系统开发、集成对接、调试并上线运行。</w:t>
      </w:r>
    </w:p>
    <w:p w14:paraId="153B452E">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w:t>
      </w:r>
      <w:bookmarkStart w:id="27" w:name="_Toc35393622"/>
      <w:bookmarkStart w:id="28" w:name="_Toc38985264"/>
      <w:bookmarkStart w:id="29" w:name="_Toc35393791"/>
      <w:bookmarkStart w:id="30" w:name="_Toc28359080"/>
      <w:bookmarkStart w:id="31" w:name="_Toc28359003"/>
      <w:r>
        <w:rPr>
          <w:rFonts w:hint="eastAsia" w:ascii="仿宋" w:hAnsi="仿宋" w:eastAsia="仿宋" w:cs="仿宋"/>
          <w:color w:val="000000" w:themeColor="text1"/>
          <w:sz w:val="24"/>
          <w:szCs w:val="24"/>
          <w14:textFill>
            <w14:solidFill>
              <w14:schemeClr w14:val="tx1"/>
            </w14:solidFill>
          </w14:textFill>
        </w:rPr>
        <w:t>本项目是否接受联合体投标：否。</w:t>
      </w:r>
    </w:p>
    <w:p w14:paraId="10997096">
      <w:pPr>
        <w:ind w:firstLine="480" w:firstLineChars="20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10.本项目是否接受分包：否。</w:t>
      </w:r>
    </w:p>
    <w:p w14:paraId="1DC39232">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二、申请人的资格要求：</w:t>
      </w:r>
      <w:bookmarkEnd w:id="27"/>
      <w:bookmarkEnd w:id="28"/>
      <w:bookmarkEnd w:id="29"/>
      <w:bookmarkEnd w:id="30"/>
      <w:bookmarkEnd w:id="31"/>
    </w:p>
    <w:p w14:paraId="6EB4E788">
      <w:pPr>
        <w:ind w:firstLine="480" w:firstLineChars="200"/>
        <w:rPr>
          <w:rFonts w:ascii="仿宋" w:hAnsi="仿宋" w:eastAsia="仿宋" w:cs="仿宋"/>
          <w:sz w:val="24"/>
          <w:szCs w:val="24"/>
        </w:rPr>
      </w:pPr>
      <w:bookmarkStart w:id="32" w:name="_Toc28359004"/>
      <w:bookmarkStart w:id="33" w:name="_Toc35393623"/>
      <w:bookmarkStart w:id="34" w:name="_Toc38985265"/>
      <w:bookmarkStart w:id="35" w:name="_Toc28359081"/>
      <w:bookmarkStart w:id="36" w:name="_Toc35393792"/>
      <w:r>
        <w:rPr>
          <w:rFonts w:hint="eastAsia" w:ascii="仿宋" w:hAnsi="仿宋" w:eastAsia="仿宋" w:cs="仿宋"/>
          <w:sz w:val="24"/>
          <w:szCs w:val="24"/>
        </w:rPr>
        <w:t>（一）通用资格要求</w:t>
      </w:r>
    </w:p>
    <w:p w14:paraId="0D7E4358">
      <w:pPr>
        <w:ind w:firstLine="480" w:firstLineChars="200"/>
        <w:rPr>
          <w:rFonts w:ascii="仿宋" w:hAnsi="仿宋" w:eastAsia="仿宋" w:cs="仿宋"/>
          <w:b/>
          <w:bCs/>
          <w:color w:val="FF0000"/>
          <w:sz w:val="24"/>
          <w:szCs w:val="24"/>
        </w:rPr>
      </w:pPr>
      <w:r>
        <w:rPr>
          <w:rFonts w:hint="eastAsia" w:ascii="仿宋" w:hAnsi="仿宋" w:eastAsia="仿宋" w:cs="仿宋"/>
          <w:sz w:val="24"/>
          <w:szCs w:val="24"/>
        </w:rPr>
        <w:t>1.满足《中华人民共和国政府采购法》第二十二条规定</w:t>
      </w:r>
      <w:r>
        <w:rPr>
          <w:rFonts w:hint="eastAsia" w:ascii="仿宋" w:hAnsi="仿宋" w:eastAsia="仿宋" w:cs="仿宋"/>
          <w:b/>
          <w:bCs/>
          <w:sz w:val="24"/>
          <w:szCs w:val="24"/>
        </w:rPr>
        <w:t>（按附件2格式进行声明，</w:t>
      </w:r>
      <w:r>
        <w:rPr>
          <w:rFonts w:hint="eastAsia" w:ascii="仿宋" w:hAnsi="仿宋" w:eastAsia="仿宋" w:cs="仿宋"/>
          <w:b/>
          <w:bCs/>
          <w:color w:val="000000"/>
          <w:sz w:val="24"/>
          <w:szCs w:val="24"/>
        </w:rPr>
        <w:t>响应文件中无需提供其他证明材料）</w:t>
      </w:r>
      <w:r>
        <w:rPr>
          <w:rFonts w:hint="eastAsia" w:ascii="仿宋" w:hAnsi="仿宋" w:eastAsia="仿宋" w:cs="仿宋"/>
          <w:b/>
          <w:bCs/>
          <w:sz w:val="24"/>
          <w:szCs w:val="24"/>
        </w:rPr>
        <w:t>；</w:t>
      </w:r>
    </w:p>
    <w:p w14:paraId="57E238B1">
      <w:pPr>
        <w:ind w:firstLine="480" w:firstLineChars="200"/>
        <w:rPr>
          <w:rFonts w:ascii="仿宋" w:hAnsi="仿宋" w:eastAsia="仿宋" w:cs="仿宋"/>
          <w:b/>
          <w:bCs/>
          <w:sz w:val="36"/>
          <w:szCs w:val="36"/>
        </w:rPr>
      </w:pPr>
      <w:r>
        <w:rPr>
          <w:rFonts w:hint="eastAsia" w:ascii="仿宋" w:hAnsi="仿宋" w:eastAsia="仿宋" w:cs="仿宋"/>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（响应文件中无需提供证明材料）</w:t>
      </w:r>
    </w:p>
    <w:p w14:paraId="22CD24E2">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3.落实政府采购政策需满足的资格要求：无。</w:t>
      </w:r>
    </w:p>
    <w:p w14:paraId="69DB6F63">
      <w:pPr>
        <w:adjustRightInd w:val="0"/>
        <w:snapToGrid w:val="0"/>
        <w:spacing w:line="500" w:lineRule="exact"/>
        <w:ind w:firstLine="480" w:firstLineChars="200"/>
        <w:rPr>
          <w:rFonts w:ascii="仿宋" w:hAnsi="仿宋" w:eastAsia="仿宋" w:cs="仿宋"/>
          <w:sz w:val="24"/>
          <w:szCs w:val="24"/>
          <w:highlight w:val="cyan"/>
        </w:rPr>
      </w:pPr>
      <w:r>
        <w:rPr>
          <w:rFonts w:hint="eastAsia" w:ascii="仿宋" w:hAnsi="仿宋" w:eastAsia="仿宋" w:cs="仿宋"/>
          <w:sz w:val="24"/>
          <w:szCs w:val="24"/>
        </w:rPr>
        <w:t>（二）本项目的特定资格要求：无。</w:t>
      </w:r>
    </w:p>
    <w:p w14:paraId="13F56590">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三、获取</w:t>
      </w:r>
      <w:bookmarkEnd w:id="32"/>
      <w:bookmarkEnd w:id="33"/>
      <w:bookmarkEnd w:id="34"/>
      <w:bookmarkEnd w:id="35"/>
      <w:bookmarkEnd w:id="36"/>
      <w:r>
        <w:rPr>
          <w:rFonts w:hint="eastAsia" w:ascii="仿宋" w:hAnsi="仿宋" w:eastAsia="仿宋" w:cs="仿宋"/>
          <w:b/>
          <w:bCs/>
          <w:sz w:val="32"/>
          <w:szCs w:val="32"/>
        </w:rPr>
        <w:t>磋商文件</w:t>
      </w:r>
    </w:p>
    <w:p w14:paraId="40CC6E89">
      <w:pPr>
        <w:spacing w:line="360" w:lineRule="auto"/>
        <w:ind w:firstLine="540"/>
        <w:rPr>
          <w:rFonts w:ascii="仿宋" w:hAnsi="仿宋" w:eastAsia="仿宋" w:cs="仿宋"/>
          <w:sz w:val="24"/>
          <w:szCs w:val="24"/>
        </w:rPr>
      </w:pPr>
      <w:bookmarkStart w:id="37" w:name="_Toc38985266"/>
      <w:bookmarkStart w:id="38" w:name="_Toc35393793"/>
      <w:bookmarkStart w:id="39" w:name="_Toc35393624"/>
      <w:bookmarkStart w:id="40" w:name="_Toc28359082"/>
      <w:bookmarkStart w:id="41" w:name="_Toc28359005"/>
      <w:r>
        <w:rPr>
          <w:rFonts w:hint="eastAsia" w:ascii="仿宋" w:hAnsi="仿宋" w:eastAsia="仿宋" w:cs="仿宋"/>
          <w:sz w:val="24"/>
          <w:szCs w:val="24"/>
        </w:rPr>
        <w:t>1.时间：自本公告发布之日起5个工作日。</w:t>
      </w:r>
    </w:p>
    <w:p w14:paraId="63266BEB">
      <w:pPr>
        <w:spacing w:line="360" w:lineRule="auto"/>
        <w:ind w:firstLine="540"/>
        <w:rPr>
          <w:rFonts w:ascii="仿宋" w:hAnsi="仿宋" w:eastAsia="仿宋" w:cs="仿宋"/>
          <w:sz w:val="24"/>
          <w:szCs w:val="24"/>
        </w:rPr>
      </w:pPr>
      <w:r>
        <w:rPr>
          <w:rFonts w:hint="eastAsia" w:ascii="仿宋" w:hAnsi="仿宋" w:eastAsia="仿宋" w:cs="仿宋"/>
          <w:sz w:val="24"/>
          <w:szCs w:val="24"/>
        </w:rPr>
        <w:t>2.地点：“江苏政府采购网”</w:t>
      </w:r>
    </w:p>
    <w:p w14:paraId="772E3A02">
      <w:pPr>
        <w:spacing w:line="360" w:lineRule="auto"/>
        <w:ind w:firstLine="540"/>
        <w:rPr>
          <w:rFonts w:ascii="仿宋" w:hAnsi="仿宋" w:eastAsia="仿宋" w:cs="仿宋"/>
          <w:sz w:val="24"/>
          <w:szCs w:val="24"/>
        </w:rPr>
      </w:pPr>
      <w:r>
        <w:rPr>
          <w:rFonts w:hint="eastAsia" w:ascii="仿宋" w:hAnsi="仿宋" w:eastAsia="仿宋" w:cs="仿宋"/>
          <w:sz w:val="24"/>
          <w:szCs w:val="24"/>
        </w:rPr>
        <w:t>3.方式：凡有意参与投标的供应商须登录江苏政府采购网首页点击“苏采云”→通过CA锁进行响应确认，并自行在磋商文件有效获取期内及时下载获取。</w:t>
      </w:r>
    </w:p>
    <w:p w14:paraId="78EEF602">
      <w:pPr>
        <w:spacing w:line="360" w:lineRule="auto"/>
        <w:ind w:firstLine="540"/>
        <w:rPr>
          <w:rFonts w:ascii="仿宋" w:hAnsi="仿宋" w:eastAsia="仿宋" w:cs="仿宋"/>
          <w:sz w:val="24"/>
          <w:szCs w:val="24"/>
        </w:rPr>
      </w:pPr>
      <w:r>
        <w:rPr>
          <w:rFonts w:hint="eastAsia" w:ascii="仿宋" w:hAnsi="仿宋" w:eastAsia="仿宋" w:cs="仿宋"/>
          <w:sz w:val="24"/>
          <w:szCs w:val="24"/>
        </w:rPr>
        <w:t>4.售价：免费</w:t>
      </w:r>
    </w:p>
    <w:p w14:paraId="5F7F0B49">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w:t>
      </w:r>
      <w:bookmarkEnd w:id="37"/>
      <w:bookmarkEnd w:id="38"/>
      <w:bookmarkEnd w:id="39"/>
      <w:bookmarkEnd w:id="40"/>
      <w:bookmarkEnd w:id="41"/>
      <w:r>
        <w:rPr>
          <w:rFonts w:hint="eastAsia" w:ascii="仿宋" w:hAnsi="仿宋" w:eastAsia="仿宋" w:cs="仿宋"/>
          <w:b/>
          <w:bCs/>
          <w:sz w:val="32"/>
          <w:szCs w:val="32"/>
        </w:rPr>
        <w:t>响应文件提交</w:t>
      </w:r>
    </w:p>
    <w:p w14:paraId="35583EFC">
      <w:pPr>
        <w:adjustRightInd w:val="0"/>
        <w:snapToGrid w:val="0"/>
        <w:spacing w:line="500" w:lineRule="exact"/>
        <w:ind w:firstLine="480" w:firstLineChars="200"/>
        <w:rPr>
          <w:rFonts w:ascii="仿宋" w:hAnsi="仿宋" w:eastAsia="仿宋" w:cs="仿宋"/>
          <w:kern w:val="0"/>
          <w:sz w:val="24"/>
          <w:szCs w:val="24"/>
          <w:highlight w:val="cyan"/>
        </w:rPr>
      </w:pPr>
      <w:r>
        <w:rPr>
          <w:rFonts w:hint="eastAsia" w:ascii="仿宋" w:hAnsi="仿宋" w:eastAsia="仿宋" w:cs="仿宋"/>
          <w:bCs/>
          <w:color w:val="000000" w:themeColor="text1"/>
          <w:sz w:val="24"/>
          <w:szCs w:val="24"/>
          <w:highlight w:val="none"/>
          <w14:textFill>
            <w14:solidFill>
              <w14:schemeClr w14:val="tx1"/>
            </w14:solidFill>
          </w14:textFill>
        </w:rPr>
        <w:t>1.截止时间：</w:t>
      </w:r>
      <w:r>
        <w:rPr>
          <w:rFonts w:hint="eastAsia" w:ascii="仿宋" w:hAnsi="仿宋" w:eastAsia="仿宋" w:cs="仿宋"/>
          <w:sz w:val="24"/>
          <w:szCs w:val="24"/>
          <w:highlight w:val="none"/>
          <w:lang w:val="en-US" w:eastAsia="zh-CN"/>
        </w:rPr>
        <w:t>2026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日</w:t>
      </w:r>
      <w:r>
        <w:rPr>
          <w:rFonts w:hint="eastAsia" w:ascii="仿宋" w:hAnsi="仿宋" w:eastAsia="仿宋" w:cs="仿宋"/>
          <w:bCs/>
          <w:sz w:val="24"/>
          <w:szCs w:val="24"/>
          <w:highlight w:val="none"/>
          <w:u w:val="single"/>
        </w:rPr>
        <w:t>8</w:t>
      </w:r>
      <w:r>
        <w:rPr>
          <w:rFonts w:hint="eastAsia" w:ascii="仿宋" w:hAnsi="仿宋" w:eastAsia="仿宋" w:cs="仿宋"/>
          <w:bCs/>
          <w:sz w:val="24"/>
          <w:szCs w:val="24"/>
          <w:highlight w:val="none"/>
        </w:rPr>
        <w:t>点</w:t>
      </w:r>
      <w:r>
        <w:rPr>
          <w:rFonts w:hint="eastAsia" w:ascii="仿宋" w:hAnsi="仿宋" w:eastAsia="仿宋" w:cs="仿宋"/>
          <w:bCs/>
          <w:sz w:val="24"/>
          <w:szCs w:val="24"/>
          <w:highlight w:val="none"/>
          <w:u w:val="single"/>
        </w:rPr>
        <w:t>30</w:t>
      </w:r>
      <w:r>
        <w:rPr>
          <w:rFonts w:hint="eastAsia" w:ascii="仿宋" w:hAnsi="仿宋" w:eastAsia="仿宋" w:cs="仿宋"/>
          <w:bCs/>
          <w:sz w:val="24"/>
          <w:szCs w:val="24"/>
          <w:highlight w:val="none"/>
        </w:rPr>
        <w:t>分（北京时间）。</w:t>
      </w:r>
      <w:r>
        <w:rPr>
          <w:rFonts w:hint="eastAsia" w:ascii="仿宋" w:hAnsi="仿宋" w:eastAsia="仿宋" w:cs="仿宋"/>
          <w:bCs/>
          <w:color w:val="000000" w:themeColor="text1"/>
          <w:sz w:val="24"/>
          <w:szCs w:val="24"/>
          <w:highlight w:val="none"/>
          <w14:textFill>
            <w14:solidFill>
              <w14:schemeClr w14:val="tx1"/>
            </w14:solidFill>
          </w14:textFill>
        </w:rPr>
        <w:t>逾时，</w:t>
      </w:r>
      <w:r>
        <w:rPr>
          <w:rFonts w:hint="eastAsia" w:ascii="仿宋" w:hAnsi="仿宋" w:eastAsia="仿宋" w:cs="仿宋"/>
          <w:bCs/>
          <w:color w:val="000000" w:themeColor="text1"/>
          <w:sz w:val="24"/>
          <w:szCs w:val="24"/>
          <w14:textFill>
            <w14:solidFill>
              <w14:schemeClr w14:val="tx1"/>
            </w14:solidFill>
          </w14:textFill>
        </w:rPr>
        <w:t>系统将拒绝接受上传响应文件电子文档。</w:t>
      </w:r>
    </w:p>
    <w:p w14:paraId="687FA8B1">
      <w:pPr>
        <w:adjustRightInd w:val="0"/>
        <w:snapToGrid w:val="0"/>
        <w:spacing w:line="50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2.地点：“苏采云”政府采购一体化平台。</w:t>
      </w:r>
    </w:p>
    <w:p w14:paraId="16057597">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42" w:name="_Toc28359007"/>
      <w:bookmarkStart w:id="43" w:name="_Toc35393625"/>
      <w:bookmarkStart w:id="44" w:name="_Toc38985267"/>
      <w:bookmarkStart w:id="45" w:name="_Toc35393794"/>
      <w:bookmarkStart w:id="46" w:name="_Toc28359084"/>
      <w:r>
        <w:rPr>
          <w:rFonts w:hint="eastAsia" w:ascii="仿宋" w:hAnsi="仿宋" w:eastAsia="仿宋" w:cs="仿宋"/>
          <w:b/>
          <w:bCs/>
          <w:sz w:val="32"/>
          <w:szCs w:val="32"/>
        </w:rPr>
        <w:t>五、公告期限</w:t>
      </w:r>
      <w:bookmarkEnd w:id="42"/>
      <w:bookmarkEnd w:id="43"/>
      <w:bookmarkEnd w:id="44"/>
      <w:bookmarkEnd w:id="45"/>
      <w:bookmarkEnd w:id="46"/>
    </w:p>
    <w:p w14:paraId="15035663">
      <w:pPr>
        <w:adjustRightInd w:val="0"/>
        <w:snapToGrid w:val="0"/>
        <w:spacing w:line="500" w:lineRule="exact"/>
        <w:ind w:firstLine="480" w:firstLineChars="200"/>
        <w:rPr>
          <w:rFonts w:ascii="仿宋" w:hAnsi="仿宋" w:eastAsia="仿宋" w:cs="仿宋"/>
          <w:color w:val="000000" w:themeColor="text1"/>
          <w:sz w:val="24"/>
          <w:szCs w:val="24"/>
          <w14:textFill>
            <w14:solidFill>
              <w14:schemeClr w14:val="tx1"/>
            </w14:solidFill>
          </w14:textFill>
        </w:rPr>
      </w:pPr>
      <w:bookmarkStart w:id="47" w:name="_Toc35393795"/>
      <w:bookmarkStart w:id="48" w:name="_Toc38985268"/>
      <w:bookmarkStart w:id="49" w:name="_Toc35393626"/>
      <w:r>
        <w:rPr>
          <w:rFonts w:hint="eastAsia" w:ascii="仿宋" w:hAnsi="仿宋" w:eastAsia="仿宋" w:cs="仿宋"/>
          <w:color w:val="000000" w:themeColor="text1"/>
          <w:sz w:val="24"/>
          <w:szCs w:val="24"/>
          <w14:textFill>
            <w14:solidFill>
              <w14:schemeClr w14:val="tx1"/>
            </w14:solidFill>
          </w14:textFill>
        </w:rPr>
        <w:t>自本公告发布之日起3个工作日。</w:t>
      </w:r>
    </w:p>
    <w:p w14:paraId="3E820955">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六、其他补充事宜</w:t>
      </w:r>
      <w:bookmarkEnd w:id="47"/>
      <w:bookmarkEnd w:id="48"/>
      <w:bookmarkEnd w:id="49"/>
    </w:p>
    <w:p w14:paraId="080F2C77">
      <w:pPr>
        <w:spacing w:line="360" w:lineRule="auto"/>
        <w:ind w:firstLine="540"/>
        <w:rPr>
          <w:rFonts w:ascii="仿宋" w:hAnsi="仿宋" w:eastAsia="仿宋" w:cs="仿宋"/>
          <w:sz w:val="24"/>
          <w:szCs w:val="24"/>
        </w:rPr>
      </w:pPr>
      <w:bookmarkStart w:id="50" w:name="_Toc35393796"/>
      <w:bookmarkStart w:id="51" w:name="_Toc28359085"/>
      <w:bookmarkStart w:id="52" w:name="_Toc28359008"/>
      <w:bookmarkStart w:id="53" w:name="_Toc38985269"/>
      <w:bookmarkStart w:id="54" w:name="_Toc35393627"/>
      <w:r>
        <w:rPr>
          <w:rFonts w:hint="eastAsia" w:ascii="仿宋" w:hAnsi="仿宋" w:eastAsia="仿宋" w:cs="仿宋"/>
          <w:sz w:val="24"/>
          <w:szCs w:val="24"/>
        </w:rPr>
        <w:t>1.项目磋商活动模式：不见面远程磋商模式。</w:t>
      </w:r>
    </w:p>
    <w:p w14:paraId="4FBFE957">
      <w:pPr>
        <w:spacing w:line="360" w:lineRule="auto"/>
        <w:ind w:firstLine="540"/>
        <w:rPr>
          <w:rFonts w:ascii="仿宋" w:hAnsi="仿宋" w:eastAsia="仿宋" w:cs="仿宋"/>
          <w:sz w:val="24"/>
          <w:szCs w:val="24"/>
        </w:rPr>
      </w:pPr>
      <w:r>
        <w:rPr>
          <w:rFonts w:hint="eastAsia" w:ascii="仿宋" w:hAnsi="仿宋" w:eastAsia="仿宋" w:cs="仿宋"/>
          <w:sz w:val="24"/>
          <w:szCs w:val="24"/>
        </w:rPr>
        <w:t>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p>
    <w:p w14:paraId="53A56B4E">
      <w:pPr>
        <w:spacing w:line="360" w:lineRule="auto"/>
        <w:ind w:firstLine="540"/>
        <w:rPr>
          <w:rFonts w:ascii="仿宋" w:hAnsi="仿宋" w:eastAsia="仿宋" w:cs="仿宋"/>
          <w:sz w:val="24"/>
          <w:szCs w:val="24"/>
        </w:rPr>
      </w:pPr>
      <w:r>
        <w:rPr>
          <w:rFonts w:hint="eastAsia" w:ascii="仿宋" w:hAnsi="仿宋" w:eastAsia="仿宋" w:cs="仿宋"/>
          <w:sz w:val="24"/>
          <w:szCs w:val="24"/>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7243416">
      <w:pPr>
        <w:spacing w:line="360" w:lineRule="auto"/>
        <w:ind w:firstLine="540"/>
        <w:rPr>
          <w:rFonts w:ascii="仿宋" w:hAnsi="仿宋" w:eastAsia="仿宋" w:cs="仿宋"/>
          <w:sz w:val="24"/>
          <w:szCs w:val="24"/>
        </w:rPr>
      </w:pPr>
      <w:r>
        <w:rPr>
          <w:rFonts w:hint="eastAsia" w:ascii="仿宋" w:hAnsi="仿宋" w:eastAsia="仿宋" w:cs="仿宋"/>
          <w:sz w:val="24"/>
          <w:szCs w:val="24"/>
        </w:rPr>
        <w:t>4.开标当天响应供应商应及时登录“苏采云”政府采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p>
    <w:bookmarkEnd w:id="50"/>
    <w:bookmarkEnd w:id="51"/>
    <w:bookmarkEnd w:id="52"/>
    <w:bookmarkEnd w:id="53"/>
    <w:bookmarkEnd w:id="54"/>
    <w:p w14:paraId="6F1282FA">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55" w:name="_Toc28359087"/>
      <w:bookmarkStart w:id="56" w:name="_Toc28359010"/>
      <w:r>
        <w:rPr>
          <w:rFonts w:hint="eastAsia" w:ascii="仿宋" w:hAnsi="仿宋" w:eastAsia="仿宋" w:cs="仿宋"/>
          <w:b/>
          <w:bCs/>
          <w:sz w:val="32"/>
          <w:szCs w:val="32"/>
        </w:rPr>
        <w:t>七、凡对本次采购提出询问，请按以下方式联系</w:t>
      </w:r>
    </w:p>
    <w:p w14:paraId="62C6CDFA">
      <w:pPr>
        <w:widowControl/>
        <w:jc w:val="left"/>
        <w:rPr>
          <w:rFonts w:ascii="仿宋" w:hAnsi="仿宋" w:eastAsia="仿宋" w:cs="仿宋"/>
          <w:sz w:val="24"/>
          <w:szCs w:val="24"/>
          <w:highlight w:val="none"/>
        </w:rPr>
      </w:pPr>
      <w:r>
        <w:rPr>
          <w:rFonts w:hint="eastAsia" w:ascii="仿宋" w:hAnsi="仿宋" w:eastAsia="仿宋" w:cs="仿宋"/>
          <w:sz w:val="28"/>
          <w:szCs w:val="28"/>
          <w:highlight w:val="none"/>
        </w:rPr>
        <w:t>　　　</w:t>
      </w:r>
      <w:r>
        <w:rPr>
          <w:rFonts w:hint="eastAsia" w:ascii="仿宋" w:hAnsi="仿宋" w:eastAsia="仿宋" w:cs="仿宋"/>
          <w:sz w:val="24"/>
          <w:szCs w:val="24"/>
          <w:highlight w:val="none"/>
        </w:rPr>
        <w:t>1.采购人信息</w:t>
      </w:r>
    </w:p>
    <w:p w14:paraId="0F776FA3">
      <w:pPr>
        <w:spacing w:line="360" w:lineRule="auto"/>
        <w:ind w:left="1079" w:leftChars="371" w:hanging="300" w:hangingChars="125"/>
        <w:jc w:val="left"/>
        <w:rPr>
          <w:rFonts w:ascii="仿宋" w:hAnsi="仿宋" w:eastAsia="仿宋" w:cs="仿宋"/>
          <w:sz w:val="24"/>
          <w:szCs w:val="24"/>
          <w:highlight w:val="none"/>
        </w:rPr>
      </w:pPr>
      <w:r>
        <w:rPr>
          <w:rFonts w:hint="eastAsia" w:ascii="仿宋" w:hAnsi="仿宋" w:eastAsia="仿宋" w:cs="仿宋"/>
          <w:sz w:val="24"/>
          <w:szCs w:val="24"/>
          <w:highlight w:val="none"/>
        </w:rPr>
        <w:t>名 称：</w:t>
      </w:r>
      <w:r>
        <w:rPr>
          <w:rFonts w:hint="eastAsia" w:ascii="仿宋" w:hAnsi="仿宋" w:eastAsia="仿宋" w:cs="仿宋"/>
          <w:sz w:val="24"/>
          <w:szCs w:val="24"/>
          <w:highlight w:val="none"/>
          <w:u w:val="single"/>
        </w:rPr>
        <w:t>　　　如东县数据局　　　　　　　　</w:t>
      </w:r>
    </w:p>
    <w:p w14:paraId="61DBC420">
      <w:pPr>
        <w:spacing w:line="360" w:lineRule="auto"/>
        <w:ind w:left="1079" w:leftChars="371" w:hanging="300" w:hangingChars="125"/>
        <w:jc w:val="left"/>
        <w:rPr>
          <w:rFonts w:ascii="仿宋" w:hAnsi="仿宋" w:eastAsia="仿宋" w:cs="仿宋"/>
          <w:sz w:val="24"/>
          <w:szCs w:val="24"/>
          <w:highlight w:val="none"/>
          <w:u w:val="singl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如东县城中街道泰山路16号　　</w:t>
      </w:r>
    </w:p>
    <w:p w14:paraId="57CD4473">
      <w:pPr>
        <w:spacing w:line="360" w:lineRule="auto"/>
        <w:ind w:left="1079" w:leftChars="371" w:hanging="300" w:hangingChars="125"/>
        <w:jc w:val="left"/>
        <w:rPr>
          <w:rFonts w:ascii="仿宋" w:hAnsi="仿宋" w:eastAsia="仿宋" w:cs="仿宋"/>
          <w:sz w:val="24"/>
          <w:szCs w:val="24"/>
          <w:highlight w:val="none"/>
          <w:u w:val="single"/>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u w:val="single"/>
        </w:rPr>
        <w:t xml:space="preserve">     祝先生          </w:t>
      </w:r>
    </w:p>
    <w:p w14:paraId="3A235EBA">
      <w:pPr>
        <w:spacing w:line="360" w:lineRule="auto"/>
        <w:ind w:left="1079" w:leftChars="371" w:hanging="300" w:hangingChars="125"/>
        <w:jc w:val="left"/>
        <w:rPr>
          <w:rFonts w:ascii="仿宋" w:hAnsi="仿宋" w:eastAsia="仿宋" w:cs="仿宋"/>
          <w:sz w:val="24"/>
          <w:szCs w:val="24"/>
          <w:highlight w:val="none"/>
          <w:u w:val="single"/>
        </w:rPr>
      </w:pPr>
      <w:r>
        <w:rPr>
          <w:rFonts w:hint="eastAsia" w:ascii="仿宋" w:hAnsi="仿宋" w:eastAsia="仿宋" w:cs="仿宋"/>
          <w:sz w:val="24"/>
          <w:szCs w:val="24"/>
          <w:highlight w:val="none"/>
        </w:rPr>
        <w:t>联系方式：</w:t>
      </w:r>
      <w:bookmarkStart w:id="57" w:name="_Toc28359009"/>
      <w:bookmarkStart w:id="58" w:name="_Toc28359086"/>
      <w:r>
        <w:rPr>
          <w:rFonts w:hint="eastAsia" w:ascii="仿宋" w:hAnsi="仿宋" w:eastAsia="仿宋" w:cs="仿宋"/>
          <w:sz w:val="24"/>
          <w:szCs w:val="24"/>
          <w:highlight w:val="none"/>
          <w:u w:val="single"/>
        </w:rPr>
        <w:t>　　　0513-84199408　　　　　</w:t>
      </w:r>
    </w:p>
    <w:p w14:paraId="0117AE42">
      <w:pPr>
        <w:spacing w:line="360" w:lineRule="auto"/>
        <w:ind w:left="1079" w:leftChars="371" w:hanging="300" w:hangingChars="125"/>
        <w:jc w:val="left"/>
        <w:rPr>
          <w:rFonts w:ascii="仿宋" w:hAnsi="仿宋" w:eastAsia="仿宋" w:cs="仿宋"/>
          <w:sz w:val="24"/>
          <w:szCs w:val="24"/>
          <w:highlight w:val="none"/>
        </w:rPr>
      </w:pPr>
      <w:r>
        <w:rPr>
          <w:rFonts w:hint="eastAsia" w:ascii="仿宋" w:hAnsi="仿宋" w:eastAsia="仿宋" w:cs="仿宋"/>
          <w:sz w:val="24"/>
          <w:szCs w:val="24"/>
          <w:highlight w:val="none"/>
        </w:rPr>
        <w:t>2.</w:t>
      </w:r>
      <w:bookmarkEnd w:id="57"/>
      <w:bookmarkEnd w:id="58"/>
      <w:r>
        <w:rPr>
          <w:rFonts w:hint="eastAsia" w:ascii="仿宋" w:hAnsi="仿宋" w:eastAsia="仿宋" w:cs="仿宋"/>
          <w:sz w:val="24"/>
          <w:szCs w:val="24"/>
          <w:highlight w:val="none"/>
        </w:rPr>
        <w:t>如东县公共资源交易中心</w:t>
      </w:r>
    </w:p>
    <w:p w14:paraId="051FA27C">
      <w:pPr>
        <w:spacing w:line="360" w:lineRule="auto"/>
        <w:ind w:firstLine="720" w:firstLineChars="300"/>
        <w:rPr>
          <w:rFonts w:ascii="仿宋" w:hAnsi="仿宋" w:eastAsia="仿宋" w:cs="仿宋"/>
          <w:sz w:val="24"/>
          <w:szCs w:val="24"/>
          <w:highlight w:val="none"/>
        </w:rPr>
      </w:pPr>
      <w:r>
        <w:rPr>
          <w:rFonts w:hint="eastAsia" w:ascii="仿宋" w:hAnsi="仿宋" w:eastAsia="仿宋" w:cs="仿宋"/>
          <w:sz w:val="24"/>
          <w:szCs w:val="24"/>
          <w:highlight w:val="none"/>
        </w:rPr>
        <w:t>地　址：</w:t>
      </w:r>
      <w:r>
        <w:rPr>
          <w:rFonts w:hint="eastAsia" w:ascii="仿宋" w:hAnsi="仿宋" w:eastAsia="仿宋" w:cs="仿宋"/>
          <w:sz w:val="24"/>
          <w:szCs w:val="24"/>
          <w:highlight w:val="none"/>
          <w:u w:val="single"/>
        </w:rPr>
        <w:t>如东县城中街道泰山路东侧建设大厦一楼</w:t>
      </w:r>
    </w:p>
    <w:p w14:paraId="65E7BF90">
      <w:pPr>
        <w:spacing w:line="360" w:lineRule="auto"/>
        <w:ind w:firstLine="720" w:firstLineChars="300"/>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联系方式：</w:t>
      </w:r>
      <w:r>
        <w:rPr>
          <w:rFonts w:hint="eastAsia" w:ascii="仿宋" w:hAnsi="仿宋" w:eastAsia="仿宋" w:cs="仿宋"/>
          <w:color w:val="000000" w:themeColor="text1"/>
          <w:sz w:val="24"/>
          <w:szCs w:val="24"/>
          <w:highlight w:val="none"/>
          <w:u w:val="single"/>
          <w14:textFill>
            <w14:solidFill>
              <w14:schemeClr w14:val="tx1"/>
            </w14:solidFill>
          </w14:textFill>
        </w:rPr>
        <w:t>见项目联系方式</w:t>
      </w:r>
    </w:p>
    <w:p w14:paraId="1C7F4600">
      <w:pPr>
        <w:spacing w:line="360" w:lineRule="auto"/>
        <w:ind w:firstLine="720" w:firstLineChars="30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3.项目联系方式</w:t>
      </w:r>
    </w:p>
    <w:p w14:paraId="2B36EA7D">
      <w:pPr>
        <w:spacing w:line="360" w:lineRule="auto"/>
        <w:ind w:firstLine="720" w:firstLineChars="300"/>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项目联系人：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梁女士  </w:t>
      </w:r>
    </w:p>
    <w:p w14:paraId="344B15F4">
      <w:pPr>
        <w:spacing w:line="360" w:lineRule="auto"/>
        <w:ind w:firstLine="638" w:firstLineChars="266"/>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电    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sz w:val="24"/>
          <w:szCs w:val="24"/>
          <w:highlight w:val="none"/>
          <w:u w:val="single"/>
        </w:rPr>
        <w:t xml:space="preserve">0513-68508598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bookmarkEnd w:id="55"/>
    <w:bookmarkEnd w:id="56"/>
    <w:p w14:paraId="6A2097E5">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八、其他</w:t>
      </w:r>
    </w:p>
    <w:p w14:paraId="0603EC72">
      <w:pPr>
        <w:tabs>
          <w:tab w:val="left" w:pos="900"/>
        </w:tabs>
        <w:spacing w:line="560" w:lineRule="exact"/>
        <w:ind w:firstLine="480" w:firstLineChars="200"/>
        <w:jc w:val="left"/>
        <w:rPr>
          <w:rFonts w:ascii="仿宋" w:hAnsi="仿宋" w:eastAsia="仿宋" w:cs="仿宋"/>
          <w:bCs/>
          <w:sz w:val="24"/>
          <w:szCs w:val="24"/>
        </w:rPr>
      </w:pPr>
      <w:r>
        <w:rPr>
          <w:rFonts w:hint="eastAsia" w:ascii="仿宋" w:hAnsi="仿宋" w:eastAsia="仿宋" w:cs="仿宋"/>
          <w:sz w:val="24"/>
          <w:szCs w:val="21"/>
        </w:rPr>
        <w:t>1.</w:t>
      </w:r>
      <w:r>
        <w:rPr>
          <w:rFonts w:hint="eastAsia" w:ascii="仿宋" w:hAnsi="仿宋" w:eastAsia="仿宋" w:cs="仿宋"/>
          <w:bCs/>
          <w:sz w:val="24"/>
          <w:szCs w:val="24"/>
        </w:rPr>
        <w:t xml:space="preserve"> 根据省财政厅《关于更换全省政府采购交易系统C A数字证书和电子签章的通知》（苏财购</w:t>
      </w:r>
      <w:r>
        <w:rPr>
          <w:rFonts w:hint="eastAsia" w:ascii="仿宋" w:hAnsi="仿宋" w:eastAsia="仿宋" w:cs="仿宋"/>
          <w:bCs/>
          <w:color w:val="FF0000"/>
          <w:sz w:val="24"/>
          <w:szCs w:val="24"/>
        </w:rPr>
        <w:t>〔2023〕</w:t>
      </w:r>
      <w:r>
        <w:rPr>
          <w:rFonts w:hint="eastAsia" w:ascii="仿宋" w:hAnsi="仿宋" w:eastAsia="仿宋" w:cs="仿宋"/>
          <w:bCs/>
          <w:sz w:val="24"/>
          <w:szCs w:val="24"/>
        </w:rPr>
        <w:t>101号），</w:t>
      </w:r>
      <w:r>
        <w:rPr>
          <w:rFonts w:hint="eastAsia" w:ascii="仿宋" w:hAnsi="仿宋" w:eastAsia="仿宋" w:cs="仿宋"/>
          <w:sz w:val="24"/>
          <w:szCs w:val="24"/>
        </w:rPr>
        <w:t>“苏采云”政府采购交易系统（以下简称苏采云系统）</w:t>
      </w:r>
      <w:r>
        <w:rPr>
          <w:rFonts w:hint="eastAsia" w:ascii="仿宋" w:hAnsi="仿宋" w:eastAsia="仿宋" w:cs="仿宋"/>
          <w:bCs/>
          <w:sz w:val="24"/>
          <w:szCs w:val="24"/>
        </w:rPr>
        <w:t>的CA数字证书、电子签章已更换为江苏省电子政务证书认证中心C A和方正国际软件（北京）有限公司电子签章。 如果供应商通过</w:t>
      </w:r>
      <w:r>
        <w:rPr>
          <w:rFonts w:hint="eastAsia" w:ascii="仿宋" w:hAnsi="仿宋" w:eastAsia="仿宋" w:cs="仿宋"/>
          <w:sz w:val="24"/>
          <w:szCs w:val="24"/>
        </w:rPr>
        <w:t>苏采云系统</w:t>
      </w:r>
      <w:r>
        <w:rPr>
          <w:rFonts w:hint="eastAsia" w:ascii="仿宋" w:hAnsi="仿宋" w:eastAsia="仿宋" w:cs="仿宋"/>
          <w:bCs/>
          <w:sz w:val="24"/>
          <w:szCs w:val="24"/>
        </w:rPr>
        <w:t>参与政府采购项目，需要更换CA数字证书和电子签章。具体详见《江苏省政府采购管理交易系统(苏采云)供应商操作指南》（以下简称《操作指南》），《操作指南》链接：http://www.ccgp-jiangsu.gov.cn/jiangsu/zlxz/ee/ee3a4bc5a3454aa2b0d9312230633ce9.html。</w:t>
      </w:r>
    </w:p>
    <w:p w14:paraId="146AEFC0">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55D1B715">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2. 有关本次磋商的事项若存在变动或修改，敬请及时关注如东县公共资源交易中心在“江苏政府采购网”发布的更正公告。</w:t>
      </w:r>
    </w:p>
    <w:p w14:paraId="6F007FA5">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3. 本次磋商不收取磋商保证金。</w:t>
      </w:r>
    </w:p>
    <w:p w14:paraId="12EF2912">
      <w:pPr>
        <w:spacing w:line="480" w:lineRule="exact"/>
        <w:ind w:firstLine="562" w:firstLineChars="200"/>
        <w:rPr>
          <w:rFonts w:ascii="仿宋" w:hAnsi="仿宋" w:eastAsia="仿宋" w:cs="仿宋"/>
          <w:sz w:val="24"/>
          <w:szCs w:val="24"/>
          <w:highlight w:val="yellow"/>
        </w:rPr>
      </w:pPr>
      <w:bookmarkStart w:id="59" w:name="_Toc120614211"/>
      <w:r>
        <w:rPr>
          <w:rFonts w:hint="eastAsia" w:ascii="仿宋" w:hAnsi="仿宋" w:eastAsia="仿宋" w:cs="仿宋"/>
          <w:b/>
          <w:sz w:val="28"/>
          <w:szCs w:val="28"/>
        </w:rPr>
        <w:br w:type="page"/>
      </w:r>
      <w:bookmarkEnd w:id="13"/>
      <w:bookmarkEnd w:id="14"/>
      <w:bookmarkEnd w:id="15"/>
      <w:bookmarkEnd w:id="16"/>
      <w:bookmarkEnd w:id="17"/>
      <w:bookmarkEnd w:id="59"/>
      <w:bookmarkStart w:id="60" w:name="_Toc20823314"/>
      <w:bookmarkStart w:id="61" w:name="_Toc120614221"/>
      <w:bookmarkStart w:id="62" w:name="_Toc513029242"/>
      <w:bookmarkStart w:id="63" w:name="_Toc16938558"/>
      <w:bookmarkStart w:id="64" w:name="_Toc479757207"/>
    </w:p>
    <w:p w14:paraId="620AF1E4">
      <w:pPr>
        <w:keepNext/>
        <w:keepLines/>
        <w:spacing w:before="145" w:beforeLines="50" w:after="145" w:afterLines="50" w:line="360" w:lineRule="auto"/>
        <w:ind w:firstLine="685" w:firstLineChars="155"/>
        <w:jc w:val="center"/>
        <w:outlineLvl w:val="0"/>
        <w:rPr>
          <w:rFonts w:ascii="仿宋" w:hAnsi="仿宋" w:eastAsia="仿宋" w:cs="仿宋"/>
          <w:b/>
          <w:bCs/>
          <w:sz w:val="32"/>
          <w:szCs w:val="32"/>
        </w:rPr>
      </w:pPr>
      <w:bookmarkStart w:id="65" w:name="_Toc16207"/>
      <w:bookmarkStart w:id="66" w:name="_Toc5468"/>
      <w:bookmarkStart w:id="67" w:name="_Toc5341"/>
      <w:r>
        <w:rPr>
          <w:rFonts w:hint="eastAsia" w:ascii="仿宋" w:hAnsi="仿宋" w:eastAsia="仿宋" w:cs="仿宋"/>
          <w:b/>
          <w:bCs/>
          <w:sz w:val="44"/>
          <w:szCs w:val="44"/>
        </w:rPr>
        <w:t>第二章  供应商须知</w:t>
      </w:r>
      <w:bookmarkEnd w:id="65"/>
      <w:bookmarkEnd w:id="66"/>
      <w:bookmarkEnd w:id="67"/>
    </w:p>
    <w:p w14:paraId="348A45E0">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68" w:name="_Toc120614214"/>
      <w:bookmarkStart w:id="69" w:name="_Toc20823275"/>
      <w:bookmarkStart w:id="70" w:name="_Toc16938519"/>
      <w:bookmarkStart w:id="71" w:name="_Toc513029203"/>
      <w:r>
        <w:rPr>
          <w:rFonts w:hint="eastAsia" w:ascii="仿宋" w:hAnsi="仿宋" w:eastAsia="仿宋" w:cs="仿宋"/>
          <w:b/>
          <w:bCs/>
          <w:sz w:val="32"/>
          <w:szCs w:val="32"/>
        </w:rPr>
        <w:t>一、总则</w:t>
      </w:r>
      <w:bookmarkEnd w:id="68"/>
      <w:bookmarkEnd w:id="69"/>
      <w:bookmarkEnd w:id="70"/>
      <w:bookmarkEnd w:id="71"/>
    </w:p>
    <w:p w14:paraId="5E09E78B">
      <w:pPr>
        <w:spacing w:line="500" w:lineRule="exact"/>
        <w:ind w:left="480"/>
        <w:rPr>
          <w:rFonts w:ascii="仿宋" w:hAnsi="仿宋" w:eastAsia="仿宋" w:cs="仿宋"/>
          <w:b/>
          <w:bCs/>
          <w:sz w:val="28"/>
          <w:szCs w:val="28"/>
        </w:rPr>
      </w:pPr>
      <w:bookmarkStart w:id="72" w:name="_Hlt16619475"/>
      <w:bookmarkEnd w:id="72"/>
      <w:bookmarkStart w:id="73" w:name="_Toc458694821"/>
      <w:bookmarkStart w:id="74" w:name="_Toc16938520"/>
      <w:bookmarkStart w:id="75" w:name="_Toc20823276"/>
      <w:bookmarkStart w:id="76" w:name="_Toc513029204"/>
      <w:r>
        <w:rPr>
          <w:rFonts w:hint="eastAsia" w:ascii="仿宋" w:hAnsi="仿宋" w:eastAsia="仿宋" w:cs="仿宋"/>
          <w:b/>
          <w:bCs/>
          <w:sz w:val="28"/>
          <w:szCs w:val="28"/>
        </w:rPr>
        <w:t>1</w:t>
      </w:r>
      <w:bookmarkEnd w:id="73"/>
      <w:r>
        <w:rPr>
          <w:rFonts w:hint="eastAsia" w:ascii="仿宋" w:hAnsi="仿宋" w:eastAsia="仿宋" w:cs="仿宋"/>
          <w:b/>
          <w:bCs/>
          <w:sz w:val="28"/>
          <w:szCs w:val="28"/>
        </w:rPr>
        <w:t>、采购方式</w:t>
      </w:r>
      <w:bookmarkEnd w:id="74"/>
      <w:bookmarkEnd w:id="75"/>
      <w:bookmarkEnd w:id="76"/>
    </w:p>
    <w:p w14:paraId="3FE26419">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1.1 本次政府采购活动采取竞争性磋商(以下简称磋商)方式，本磋商文件仅适用于磋商公告中所述项目。</w:t>
      </w:r>
    </w:p>
    <w:p w14:paraId="6C1BF39B">
      <w:pPr>
        <w:keepNext/>
        <w:keepLines/>
        <w:ind w:firstLine="422" w:firstLineChars="150"/>
        <w:outlineLvl w:val="3"/>
        <w:rPr>
          <w:rFonts w:ascii="仿宋" w:hAnsi="仿宋" w:eastAsia="仿宋" w:cs="仿宋"/>
          <w:b/>
          <w:bCs/>
          <w:sz w:val="28"/>
          <w:szCs w:val="28"/>
        </w:rPr>
      </w:pPr>
      <w:bookmarkStart w:id="77" w:name="_Toc513029205"/>
      <w:bookmarkStart w:id="78" w:name="_Toc20823277"/>
      <w:bookmarkStart w:id="79" w:name="_Toc16938521"/>
      <w:r>
        <w:rPr>
          <w:rFonts w:hint="eastAsia" w:ascii="仿宋" w:hAnsi="仿宋" w:eastAsia="仿宋" w:cs="仿宋"/>
          <w:b/>
          <w:bCs/>
          <w:sz w:val="28"/>
          <w:szCs w:val="28"/>
        </w:rPr>
        <w:t>2、合格的</w:t>
      </w:r>
      <w:bookmarkEnd w:id="77"/>
      <w:bookmarkEnd w:id="78"/>
      <w:bookmarkEnd w:id="79"/>
      <w:r>
        <w:rPr>
          <w:rFonts w:hint="eastAsia" w:ascii="仿宋" w:hAnsi="仿宋" w:eastAsia="仿宋" w:cs="仿宋"/>
          <w:b/>
          <w:bCs/>
          <w:sz w:val="28"/>
          <w:szCs w:val="28"/>
        </w:rPr>
        <w:t>供应商</w:t>
      </w:r>
    </w:p>
    <w:p w14:paraId="504DB439">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2.1满足磋商公告中供应商资格要求的规定。</w:t>
      </w:r>
    </w:p>
    <w:p w14:paraId="43A05B27">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2.2 满足本磋商文件实质性要求的规定。</w:t>
      </w:r>
    </w:p>
    <w:p w14:paraId="609087BE">
      <w:pPr>
        <w:keepNext/>
        <w:keepLines/>
        <w:ind w:firstLine="422" w:firstLineChars="150"/>
        <w:outlineLvl w:val="3"/>
        <w:rPr>
          <w:rFonts w:ascii="仿宋" w:hAnsi="仿宋" w:eastAsia="仿宋" w:cs="仿宋"/>
          <w:b/>
          <w:bCs/>
          <w:sz w:val="28"/>
          <w:szCs w:val="28"/>
        </w:rPr>
      </w:pPr>
      <w:bookmarkStart w:id="80" w:name="_Toc16938522"/>
      <w:bookmarkStart w:id="81" w:name="_Toc513029206"/>
      <w:bookmarkStart w:id="82" w:name="_Toc20823278"/>
      <w:r>
        <w:rPr>
          <w:rFonts w:hint="eastAsia" w:ascii="仿宋" w:hAnsi="仿宋" w:eastAsia="仿宋" w:cs="仿宋"/>
          <w:b/>
          <w:bCs/>
          <w:sz w:val="28"/>
          <w:szCs w:val="28"/>
        </w:rPr>
        <w:t>3、适用法律</w:t>
      </w:r>
      <w:bookmarkEnd w:id="80"/>
      <w:bookmarkEnd w:id="81"/>
      <w:bookmarkEnd w:id="82"/>
    </w:p>
    <w:p w14:paraId="11636300">
      <w:pPr>
        <w:spacing w:line="400" w:lineRule="exact"/>
        <w:ind w:firstLine="420" w:firstLineChars="175"/>
        <w:rPr>
          <w:rFonts w:ascii="仿宋" w:hAnsi="仿宋" w:eastAsia="仿宋" w:cs="仿宋"/>
          <w:sz w:val="24"/>
          <w:szCs w:val="21"/>
        </w:rPr>
      </w:pPr>
      <w:r>
        <w:rPr>
          <w:rFonts w:hint="eastAsia" w:ascii="仿宋" w:hAnsi="仿宋" w:eastAsia="仿宋" w:cs="仿宋"/>
          <w:sz w:val="24"/>
          <w:szCs w:val="21"/>
        </w:rPr>
        <w:t>3.1 本次磋商及由此产生的合同受中华人民共和国有关的法律法规制约和保护。</w:t>
      </w:r>
    </w:p>
    <w:p w14:paraId="7D54AE46">
      <w:pPr>
        <w:keepNext/>
        <w:keepLines/>
        <w:ind w:firstLine="422" w:firstLineChars="150"/>
        <w:outlineLvl w:val="3"/>
        <w:rPr>
          <w:rFonts w:ascii="仿宋" w:hAnsi="仿宋" w:eastAsia="仿宋" w:cs="仿宋"/>
          <w:b/>
          <w:bCs/>
          <w:sz w:val="28"/>
          <w:szCs w:val="28"/>
        </w:rPr>
      </w:pPr>
      <w:bookmarkStart w:id="83" w:name="_Toc16938523"/>
      <w:bookmarkStart w:id="84" w:name="_Toc513029207"/>
      <w:bookmarkStart w:id="85" w:name="_Toc462564067"/>
      <w:bookmarkStart w:id="86" w:name="_Toc20823279"/>
      <w:r>
        <w:rPr>
          <w:rFonts w:hint="eastAsia" w:ascii="仿宋" w:hAnsi="仿宋" w:eastAsia="仿宋" w:cs="仿宋"/>
          <w:b/>
          <w:bCs/>
          <w:sz w:val="28"/>
          <w:szCs w:val="28"/>
        </w:rPr>
        <w:t>4、磋商费用</w:t>
      </w:r>
      <w:bookmarkEnd w:id="83"/>
      <w:bookmarkEnd w:id="84"/>
      <w:bookmarkEnd w:id="85"/>
      <w:bookmarkEnd w:id="86"/>
    </w:p>
    <w:p w14:paraId="5FFB78BA">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4.1</w:t>
      </w:r>
      <w:r>
        <w:rPr>
          <w:rFonts w:hint="eastAsia" w:ascii="仿宋" w:hAnsi="仿宋" w:eastAsia="仿宋" w:cs="仿宋"/>
          <w:sz w:val="24"/>
          <w:szCs w:val="21"/>
        </w:rPr>
        <w:t>供应商应自行承担所有与参加本次磋商有关的费用，无论磋商过程中的做法和结果如何，如东县公共资源交易中心（以下简称交易中心）在任何情况下均无义务和责任承担这些费用。</w:t>
      </w:r>
    </w:p>
    <w:p w14:paraId="7407F33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4.2本次磋商交易中心和采购人不收取标书工本费与成交服务费。</w:t>
      </w:r>
    </w:p>
    <w:p w14:paraId="4F2917C3">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5、磋商文件的约束力</w:t>
      </w:r>
    </w:p>
    <w:p w14:paraId="1B520B6F">
      <w:pPr>
        <w:spacing w:line="480" w:lineRule="exact"/>
        <w:ind w:firstLine="480" w:firstLineChars="200"/>
        <w:rPr>
          <w:rFonts w:ascii="仿宋" w:hAnsi="仿宋" w:eastAsia="仿宋" w:cs="仿宋"/>
          <w:sz w:val="24"/>
          <w:szCs w:val="24"/>
        </w:rPr>
      </w:pPr>
      <w:r>
        <w:rPr>
          <w:rFonts w:hint="eastAsia" w:ascii="仿宋" w:hAnsi="仿宋" w:eastAsia="仿宋" w:cs="仿宋"/>
          <w:bCs/>
          <w:sz w:val="24"/>
          <w:szCs w:val="24"/>
        </w:rPr>
        <w:t>5.1</w:t>
      </w:r>
      <w:r>
        <w:rPr>
          <w:rFonts w:hint="eastAsia" w:ascii="仿宋" w:hAnsi="仿宋" w:eastAsia="仿宋" w:cs="仿宋"/>
          <w:sz w:val="24"/>
          <w:szCs w:val="24"/>
        </w:rPr>
        <w:t>供应商一旦参加本项目采购活动，即被认为接受了本磋商文件的规定和约束。</w:t>
      </w:r>
    </w:p>
    <w:p w14:paraId="3764CAD8">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87" w:name="_Toc20823281"/>
      <w:bookmarkStart w:id="88" w:name="_Toc513029209"/>
      <w:bookmarkStart w:id="89" w:name="_Toc120614215"/>
      <w:bookmarkStart w:id="90" w:name="_Toc16938525"/>
      <w:r>
        <w:rPr>
          <w:rFonts w:hint="eastAsia" w:ascii="仿宋" w:hAnsi="仿宋" w:eastAsia="仿宋" w:cs="仿宋"/>
          <w:b/>
          <w:bCs/>
          <w:sz w:val="32"/>
          <w:szCs w:val="32"/>
        </w:rPr>
        <w:t>二、</w:t>
      </w:r>
      <w:bookmarkEnd w:id="87"/>
      <w:bookmarkEnd w:id="88"/>
      <w:bookmarkEnd w:id="89"/>
      <w:bookmarkEnd w:id="90"/>
      <w:r>
        <w:rPr>
          <w:rFonts w:hint="eastAsia" w:ascii="仿宋" w:hAnsi="仿宋" w:eastAsia="仿宋" w:cs="仿宋"/>
          <w:b/>
          <w:bCs/>
          <w:sz w:val="32"/>
          <w:szCs w:val="32"/>
        </w:rPr>
        <w:t>磋商文件</w:t>
      </w:r>
    </w:p>
    <w:p w14:paraId="5C1E870E">
      <w:pPr>
        <w:keepNext/>
        <w:keepLines/>
        <w:ind w:firstLine="422" w:firstLineChars="150"/>
        <w:outlineLvl w:val="3"/>
        <w:rPr>
          <w:rFonts w:ascii="仿宋" w:hAnsi="仿宋" w:eastAsia="仿宋" w:cs="仿宋"/>
          <w:b/>
          <w:bCs/>
          <w:sz w:val="28"/>
          <w:szCs w:val="28"/>
        </w:rPr>
      </w:pPr>
      <w:bookmarkStart w:id="91" w:name="_Toc20823282"/>
      <w:bookmarkStart w:id="92" w:name="_Toc16938526"/>
      <w:bookmarkStart w:id="93" w:name="_Toc513029210"/>
      <w:r>
        <w:rPr>
          <w:rFonts w:hint="eastAsia" w:ascii="仿宋" w:hAnsi="仿宋" w:eastAsia="仿宋" w:cs="仿宋"/>
          <w:b/>
          <w:bCs/>
          <w:sz w:val="28"/>
          <w:szCs w:val="28"/>
        </w:rPr>
        <w:t>6、磋商文件构成</w:t>
      </w:r>
      <w:bookmarkEnd w:id="91"/>
      <w:bookmarkEnd w:id="92"/>
      <w:bookmarkEnd w:id="93"/>
    </w:p>
    <w:p w14:paraId="2635819A">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6.1</w:t>
      </w:r>
      <w:r>
        <w:rPr>
          <w:rFonts w:hint="eastAsia" w:ascii="仿宋" w:hAnsi="仿宋" w:eastAsia="仿宋" w:cs="仿宋"/>
          <w:sz w:val="24"/>
          <w:szCs w:val="21"/>
        </w:rPr>
        <w:t>磋商文件由以下部分组成：</w:t>
      </w:r>
    </w:p>
    <w:p w14:paraId="44A4897C">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（1）磋商邀请</w:t>
      </w:r>
    </w:p>
    <w:p w14:paraId="157750A7">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（2）供应商须知</w:t>
      </w:r>
    </w:p>
    <w:p w14:paraId="6298FEA6">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（3）合同文本</w:t>
      </w:r>
    </w:p>
    <w:p w14:paraId="56FA51E5">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（4）采购需求</w:t>
      </w:r>
    </w:p>
    <w:p w14:paraId="567A26DE">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（5）评审方法与评审标准</w:t>
      </w:r>
    </w:p>
    <w:p w14:paraId="5DE5E636">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（6）响应文件格式</w:t>
      </w:r>
    </w:p>
    <w:p w14:paraId="0A8A095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请仔细检查磋商文件是否齐全，如有缺漏请立即与交易中心联系解决。</w:t>
      </w:r>
    </w:p>
    <w:p w14:paraId="4322833B">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6.2</w:t>
      </w:r>
      <w:r>
        <w:rPr>
          <w:rFonts w:hint="eastAsia" w:ascii="仿宋" w:hAnsi="仿宋" w:eastAsia="仿宋" w:cs="仿宋"/>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38B4650">
      <w:pPr>
        <w:keepNext/>
        <w:keepLines/>
        <w:ind w:firstLine="422" w:firstLineChars="150"/>
        <w:outlineLvl w:val="3"/>
        <w:rPr>
          <w:rFonts w:ascii="仿宋" w:hAnsi="仿宋" w:eastAsia="仿宋" w:cs="仿宋"/>
          <w:b/>
          <w:bCs/>
          <w:sz w:val="28"/>
          <w:szCs w:val="28"/>
        </w:rPr>
      </w:pPr>
      <w:bookmarkStart w:id="94" w:name="_Toc513029211"/>
      <w:bookmarkStart w:id="95" w:name="_Toc462564070"/>
      <w:bookmarkStart w:id="96" w:name="_Toc16938527"/>
      <w:bookmarkStart w:id="97" w:name="_Toc20823283"/>
      <w:r>
        <w:rPr>
          <w:rFonts w:hint="eastAsia" w:ascii="仿宋" w:hAnsi="仿宋" w:eastAsia="仿宋" w:cs="仿宋"/>
          <w:b/>
          <w:bCs/>
          <w:sz w:val="28"/>
          <w:szCs w:val="28"/>
        </w:rPr>
        <w:t>7、磋商文件的澄清</w:t>
      </w:r>
      <w:bookmarkEnd w:id="94"/>
      <w:bookmarkEnd w:id="95"/>
      <w:bookmarkEnd w:id="96"/>
      <w:bookmarkEnd w:id="97"/>
    </w:p>
    <w:p w14:paraId="59DA17E7">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7.1 任何要求对磋商文件进行澄清的供应商，应在磋商截止期5日前按磋商公告中的通讯地址，以书面形式通知采购人。采购人有权对发出的磋商文件进行必要的澄清或修改。</w:t>
      </w:r>
    </w:p>
    <w:p w14:paraId="60DA3593">
      <w:pPr>
        <w:keepNext/>
        <w:keepLines/>
        <w:ind w:firstLine="422" w:firstLineChars="150"/>
        <w:outlineLvl w:val="3"/>
        <w:rPr>
          <w:rFonts w:ascii="仿宋" w:hAnsi="仿宋" w:eastAsia="仿宋" w:cs="仿宋"/>
          <w:b/>
          <w:bCs/>
          <w:sz w:val="28"/>
          <w:szCs w:val="28"/>
        </w:rPr>
      </w:pPr>
      <w:bookmarkStart w:id="98" w:name="_Toc20823284"/>
      <w:bookmarkStart w:id="99" w:name="_Toc462564071"/>
      <w:bookmarkStart w:id="100" w:name="_Toc16938528"/>
      <w:bookmarkStart w:id="101" w:name="_Toc513029212"/>
      <w:r>
        <w:rPr>
          <w:rFonts w:hint="eastAsia" w:ascii="仿宋" w:hAnsi="仿宋" w:eastAsia="仿宋" w:cs="仿宋"/>
          <w:b/>
          <w:bCs/>
          <w:sz w:val="28"/>
          <w:szCs w:val="28"/>
        </w:rPr>
        <w:t>8、磋商文件的澄清和修改</w:t>
      </w:r>
      <w:bookmarkEnd w:id="98"/>
      <w:bookmarkEnd w:id="99"/>
      <w:bookmarkEnd w:id="100"/>
      <w:bookmarkEnd w:id="101"/>
    </w:p>
    <w:p w14:paraId="11F1B99D">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8.1</w:t>
      </w:r>
      <w:r>
        <w:rPr>
          <w:rFonts w:hint="eastAsia" w:ascii="仿宋" w:hAnsi="仿宋" w:eastAsia="仿宋" w:cs="仿宋"/>
          <w:sz w:val="24"/>
          <w:szCs w:val="21"/>
        </w:rPr>
        <w:t xml:space="preserve"> 在响应文件提交截止时间前，交易中心可以对磋商文件进行澄清和修改,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澄清或者修改的内容作为磋商文件的组成部分。澄清或者修改的内容可能影响响应文件编制的，交易中心将在提交首次响应文件截止时间至少5日前，在“江苏政府采购网”上以发布书面更正公告形式通知所有获取磋商文件的供应商, 更正公告内容将作为磋商文件的组成部分，并对供应商具有约束力。不足5日的，交易中心将顺延提交首次响应文件截止时间。</w:t>
      </w:r>
    </w:p>
    <w:p w14:paraId="1AF36B5B">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8.2采购人可以视采购项目的具体情况，组织供应商进行现场考察或召开磋商前答疑会，但不单独或分别组织只有一个供应商参加的现场考察和答疑会。</w:t>
      </w:r>
    </w:p>
    <w:p w14:paraId="6D141E8A">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102" w:name="_Toc20823285"/>
      <w:bookmarkStart w:id="103" w:name="_Toc462564072"/>
      <w:bookmarkStart w:id="104" w:name="_Toc16938529"/>
      <w:bookmarkStart w:id="105" w:name="_Toc513029213"/>
      <w:bookmarkStart w:id="106" w:name="_Toc120614216"/>
      <w:r>
        <w:rPr>
          <w:rFonts w:hint="eastAsia" w:ascii="仿宋" w:hAnsi="仿宋" w:eastAsia="仿宋" w:cs="仿宋"/>
          <w:b/>
          <w:bCs/>
          <w:sz w:val="32"/>
          <w:szCs w:val="32"/>
        </w:rPr>
        <w:t>三、响应文件的编制</w:t>
      </w:r>
      <w:bookmarkEnd w:id="102"/>
      <w:bookmarkEnd w:id="103"/>
      <w:bookmarkEnd w:id="104"/>
      <w:bookmarkEnd w:id="105"/>
      <w:bookmarkEnd w:id="106"/>
    </w:p>
    <w:p w14:paraId="6A528364">
      <w:pPr>
        <w:keepNext/>
        <w:keepLines/>
        <w:ind w:firstLine="422" w:firstLineChars="150"/>
        <w:outlineLvl w:val="3"/>
        <w:rPr>
          <w:rFonts w:ascii="仿宋" w:hAnsi="仿宋" w:eastAsia="仿宋" w:cs="仿宋"/>
          <w:b/>
          <w:bCs/>
          <w:sz w:val="28"/>
          <w:szCs w:val="28"/>
        </w:rPr>
      </w:pPr>
      <w:bookmarkStart w:id="107" w:name="_Toc20823286"/>
      <w:bookmarkStart w:id="108" w:name="_Toc16938530"/>
      <w:bookmarkStart w:id="109" w:name="_Toc513029214"/>
      <w:bookmarkStart w:id="110" w:name="_Toc462564073"/>
      <w:r>
        <w:rPr>
          <w:rFonts w:hint="eastAsia" w:ascii="仿宋" w:hAnsi="仿宋" w:eastAsia="仿宋" w:cs="仿宋"/>
          <w:b/>
          <w:bCs/>
          <w:sz w:val="28"/>
          <w:szCs w:val="28"/>
        </w:rPr>
        <w:t>9、响应文件的语言及度量衡单位</w:t>
      </w:r>
      <w:bookmarkEnd w:id="107"/>
      <w:bookmarkEnd w:id="108"/>
      <w:bookmarkEnd w:id="109"/>
      <w:bookmarkEnd w:id="110"/>
    </w:p>
    <w:p w14:paraId="25E52B04">
      <w:pPr>
        <w:spacing w:line="500" w:lineRule="exact"/>
        <w:ind w:firstLine="480" w:firstLineChars="200"/>
        <w:rPr>
          <w:rFonts w:ascii="仿宋" w:hAnsi="仿宋" w:eastAsia="仿宋" w:cs="仿宋"/>
        </w:rPr>
      </w:pPr>
      <w:r>
        <w:rPr>
          <w:rFonts w:hint="eastAsia" w:ascii="仿宋" w:hAnsi="仿宋" w:eastAsia="仿宋" w:cs="仿宋"/>
          <w:bCs/>
          <w:sz w:val="24"/>
          <w:szCs w:val="21"/>
        </w:rPr>
        <w:t>9.1</w:t>
      </w:r>
      <w:r>
        <w:rPr>
          <w:rFonts w:hint="eastAsia" w:ascii="仿宋" w:hAnsi="仿宋" w:eastAsia="仿宋" w:cs="仿宋"/>
          <w:sz w:val="24"/>
          <w:szCs w:val="21"/>
        </w:rPr>
        <w:t>供应商提交的响应文件以及供应商与交易中心及采购人就有关磋商的所有来往通知、函件和文件均应使用</w:t>
      </w:r>
      <w:r>
        <w:rPr>
          <w:rFonts w:hint="eastAsia" w:ascii="仿宋" w:hAnsi="仿宋" w:eastAsia="仿宋" w:cs="仿宋"/>
          <w:b/>
          <w:bCs/>
          <w:sz w:val="24"/>
          <w:szCs w:val="21"/>
        </w:rPr>
        <w:t>简体中文</w:t>
      </w:r>
      <w:r>
        <w:rPr>
          <w:rFonts w:hint="eastAsia" w:ascii="仿宋" w:hAnsi="仿宋" w:eastAsia="仿宋" w:cs="仿宋"/>
          <w:sz w:val="24"/>
          <w:szCs w:val="21"/>
        </w:rPr>
        <w:t>。</w:t>
      </w:r>
    </w:p>
    <w:p w14:paraId="1F81CD58">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9.2</w:t>
      </w:r>
      <w:r>
        <w:rPr>
          <w:rFonts w:hint="eastAsia" w:ascii="仿宋" w:hAnsi="仿宋" w:eastAsia="仿宋" w:cs="仿宋"/>
          <w:sz w:val="24"/>
          <w:szCs w:val="21"/>
        </w:rPr>
        <w:t xml:space="preserve"> 除技术性能另有规定外，响应文件所使用的度量衡单位，均须采用国家法定计量单位。</w:t>
      </w:r>
    </w:p>
    <w:p w14:paraId="5DA054E1">
      <w:pPr>
        <w:keepNext/>
        <w:keepLines/>
        <w:ind w:firstLine="422" w:firstLineChars="150"/>
        <w:outlineLvl w:val="3"/>
        <w:rPr>
          <w:rFonts w:ascii="仿宋" w:hAnsi="仿宋" w:eastAsia="仿宋" w:cs="仿宋"/>
          <w:b/>
          <w:bCs/>
          <w:sz w:val="28"/>
          <w:szCs w:val="28"/>
        </w:rPr>
      </w:pPr>
      <w:bookmarkStart w:id="111" w:name="_Toc462564074"/>
      <w:bookmarkStart w:id="112" w:name="_Toc513029215"/>
      <w:bookmarkStart w:id="113" w:name="_Toc16938531"/>
      <w:bookmarkStart w:id="114" w:name="_Toc20823287"/>
      <w:r>
        <w:rPr>
          <w:rFonts w:hint="eastAsia" w:ascii="仿宋" w:hAnsi="仿宋" w:eastAsia="仿宋" w:cs="仿宋"/>
          <w:b/>
          <w:bCs/>
          <w:sz w:val="28"/>
          <w:szCs w:val="28"/>
        </w:rPr>
        <w:t>10、响应文件构成</w:t>
      </w:r>
      <w:bookmarkEnd w:id="111"/>
      <w:bookmarkEnd w:id="112"/>
      <w:bookmarkEnd w:id="113"/>
      <w:bookmarkEnd w:id="114"/>
    </w:p>
    <w:p w14:paraId="41EC12E2">
      <w:pPr>
        <w:pStyle w:val="4"/>
        <w:ind w:firstLine="480" w:firstLineChars="200"/>
        <w:rPr>
          <w:rFonts w:ascii="仿宋" w:hAnsi="仿宋" w:eastAsia="仿宋" w:cs="仿宋"/>
          <w:sz w:val="24"/>
          <w:szCs w:val="21"/>
        </w:rPr>
      </w:pPr>
      <w:r>
        <w:rPr>
          <w:rFonts w:hint="eastAsia" w:ascii="仿宋" w:hAnsi="仿宋" w:eastAsia="仿宋" w:cs="仿宋"/>
          <w:bCs/>
          <w:sz w:val="24"/>
          <w:szCs w:val="21"/>
        </w:rPr>
        <w:t>10.1供应商编写的响应文件应包括资格证明文件、实质性要求响应及偏离表、分项报价表、技术要</w:t>
      </w:r>
      <w:r>
        <w:rPr>
          <w:rFonts w:hint="eastAsia" w:ascii="仿宋" w:hAnsi="仿宋" w:eastAsia="仿宋" w:cs="仿宋"/>
          <w:sz w:val="24"/>
          <w:szCs w:val="21"/>
        </w:rPr>
        <w:t>求响应及偏离表、商务要求响应及偏离表、其他证明文件、磋商响应函等部分。供应商按“第六章  响应文件格式”要求编写响应文件。</w:t>
      </w:r>
    </w:p>
    <w:p w14:paraId="3F52CF09">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10.2 如标书制作工具中格式和内容与“江苏政府采购网”发布的磋商文件不一致，请以“江苏政府采购网”发布的磋商文件为准。</w:t>
      </w:r>
    </w:p>
    <w:p w14:paraId="3A86ADCE">
      <w:pPr>
        <w:keepNext/>
        <w:keepLines/>
        <w:spacing w:line="500" w:lineRule="exact"/>
        <w:ind w:firstLine="422" w:firstLineChars="150"/>
        <w:outlineLvl w:val="3"/>
        <w:rPr>
          <w:rFonts w:ascii="仿宋" w:hAnsi="仿宋" w:eastAsia="仿宋" w:cs="仿宋"/>
          <w:b/>
          <w:bCs/>
          <w:sz w:val="28"/>
          <w:szCs w:val="28"/>
        </w:rPr>
      </w:pPr>
      <w:bookmarkStart w:id="115" w:name="_Hlt26954838"/>
      <w:bookmarkEnd w:id="115"/>
      <w:bookmarkStart w:id="116" w:name="_Hlt26670360"/>
      <w:bookmarkEnd w:id="116"/>
      <w:bookmarkStart w:id="117" w:name="_Hlt26668975"/>
      <w:bookmarkEnd w:id="117"/>
      <w:bookmarkStart w:id="118" w:name="_Toc513029219"/>
      <w:bookmarkStart w:id="119" w:name="_Toc49090509"/>
      <w:bookmarkStart w:id="120" w:name="_Toc14577357"/>
      <w:bookmarkStart w:id="121" w:name="_Toc49090507"/>
      <w:bookmarkStart w:id="122" w:name="_Toc513029216"/>
      <w:bookmarkStart w:id="123" w:name="_Toc14577354"/>
      <w:bookmarkStart w:id="124" w:name="_Toc49090508"/>
      <w:bookmarkStart w:id="125" w:name="_Toc14577355"/>
      <w:r>
        <w:rPr>
          <w:rFonts w:hint="eastAsia" w:ascii="仿宋" w:hAnsi="仿宋" w:eastAsia="仿宋" w:cs="仿宋"/>
          <w:b/>
          <w:bCs/>
          <w:sz w:val="28"/>
          <w:szCs w:val="28"/>
        </w:rPr>
        <w:t>11、证明磋商响应标的符合磋商文件规定的文件</w:t>
      </w:r>
      <w:bookmarkEnd w:id="118"/>
      <w:bookmarkEnd w:id="119"/>
      <w:bookmarkEnd w:id="120"/>
    </w:p>
    <w:bookmarkEnd w:id="121"/>
    <w:bookmarkEnd w:id="122"/>
    <w:bookmarkEnd w:id="123"/>
    <w:p w14:paraId="15F7EDD4">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p>
    <w:p w14:paraId="2ED68F43">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11.2磋商文件对证明文件无明确形式要求的，证明文件可以以文字资料、图纸和数据等形式提交。</w:t>
      </w:r>
    </w:p>
    <w:bookmarkEnd w:id="124"/>
    <w:bookmarkEnd w:id="125"/>
    <w:p w14:paraId="75CE95B6">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12、分项报价表</w:t>
      </w:r>
    </w:p>
    <w:p w14:paraId="474A7448">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12.1</w:t>
      </w:r>
      <w:r>
        <w:rPr>
          <w:rFonts w:hint="eastAsia" w:ascii="仿宋" w:hAnsi="仿宋" w:eastAsia="仿宋" w:cs="仿宋"/>
          <w:sz w:val="24"/>
          <w:szCs w:val="21"/>
        </w:rPr>
        <w:t>供应商应按照磋商文件规定格式填报分项报价表。</w:t>
      </w:r>
    </w:p>
    <w:p w14:paraId="654DE3F5">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12.2</w:t>
      </w:r>
      <w:r>
        <w:rPr>
          <w:rFonts w:hint="eastAsia" w:ascii="仿宋" w:hAnsi="仿宋" w:eastAsia="仿宋" w:cs="仿宋"/>
          <w:bCs/>
          <w:sz w:val="24"/>
          <w:szCs w:val="21"/>
        </w:rPr>
        <w:t>磋商货币。响应文件中的单价和总价无特殊规定的采用人民币报价，以元为单位标注。</w:t>
      </w:r>
      <w:r>
        <w:rPr>
          <w:rFonts w:hint="eastAsia" w:ascii="仿宋" w:hAnsi="仿宋" w:eastAsia="仿宋" w:cs="仿宋"/>
          <w:sz w:val="24"/>
          <w:szCs w:val="21"/>
        </w:rPr>
        <w:t>磋商文件中另有规定的按规定执行。</w:t>
      </w:r>
    </w:p>
    <w:p w14:paraId="560B9DE0">
      <w:pPr>
        <w:keepNext/>
        <w:keepLines/>
        <w:spacing w:line="500" w:lineRule="exact"/>
        <w:ind w:firstLine="422" w:firstLineChars="150"/>
        <w:outlineLvl w:val="3"/>
        <w:rPr>
          <w:rFonts w:ascii="仿宋" w:hAnsi="仿宋" w:eastAsia="仿宋" w:cs="仿宋"/>
          <w:b/>
          <w:bCs/>
          <w:sz w:val="28"/>
          <w:szCs w:val="28"/>
        </w:rPr>
      </w:pPr>
      <w:bookmarkStart w:id="126" w:name="_Hlt26954846"/>
      <w:bookmarkEnd w:id="126"/>
      <w:bookmarkStart w:id="127" w:name="_Hlt26670486"/>
      <w:bookmarkEnd w:id="127"/>
      <w:bookmarkStart w:id="128" w:name="_Hlt26954848"/>
      <w:bookmarkEnd w:id="128"/>
      <w:bookmarkStart w:id="129" w:name="_Hlt26670482"/>
      <w:bookmarkEnd w:id="129"/>
      <w:bookmarkStart w:id="130" w:name="_Hlt26954731"/>
      <w:bookmarkEnd w:id="130"/>
      <w:r>
        <w:rPr>
          <w:rFonts w:hint="eastAsia" w:ascii="仿宋" w:hAnsi="仿宋" w:eastAsia="仿宋" w:cs="仿宋"/>
          <w:b/>
          <w:bCs/>
          <w:sz w:val="28"/>
          <w:szCs w:val="28"/>
        </w:rPr>
        <w:t>13、技术要求响应及偏离表、商务要求响应及偏离表</w:t>
      </w:r>
    </w:p>
    <w:p w14:paraId="52EAFEF0">
      <w:pPr>
        <w:spacing w:line="500" w:lineRule="exact"/>
        <w:ind w:firstLine="480" w:firstLineChars="200"/>
        <w:rPr>
          <w:rFonts w:ascii="仿宋" w:hAnsi="仿宋" w:eastAsia="仿宋" w:cs="仿宋"/>
          <w:color w:val="FF0000"/>
          <w:highlight w:val="yellow"/>
        </w:rPr>
      </w:pPr>
      <w:r>
        <w:rPr>
          <w:rFonts w:hint="eastAsia" w:ascii="仿宋" w:hAnsi="仿宋" w:eastAsia="仿宋" w:cs="仿宋"/>
          <w:sz w:val="24"/>
          <w:szCs w:val="21"/>
          <w:lang w:val="zh-CN"/>
        </w:rPr>
        <w:t>13.1</w:t>
      </w:r>
      <w:r>
        <w:rPr>
          <w:rFonts w:hint="eastAsia" w:ascii="仿宋" w:hAnsi="仿宋" w:eastAsia="仿宋" w:cs="仿宋"/>
          <w:sz w:val="24"/>
          <w:szCs w:val="21"/>
        </w:rPr>
        <w:t>供应商须</w:t>
      </w:r>
      <w:r>
        <w:rPr>
          <w:rFonts w:hint="eastAsia" w:ascii="仿宋" w:hAnsi="仿宋" w:eastAsia="仿宋" w:cs="仿宋"/>
          <w:sz w:val="24"/>
          <w:szCs w:val="21"/>
          <w:lang w:val="zh-CN"/>
        </w:rPr>
        <w:t>对磋商文件中的技术要求与商务要求作出响应，</w:t>
      </w:r>
      <w:r>
        <w:rPr>
          <w:rFonts w:hint="eastAsia" w:ascii="仿宋" w:hAnsi="仿宋" w:eastAsia="仿宋" w:cs="仿宋"/>
          <w:sz w:val="24"/>
          <w:szCs w:val="21"/>
        </w:rPr>
        <w:t>如有偏离的，应逐条填列在偏离表中，</w:t>
      </w:r>
      <w:r>
        <w:rPr>
          <w:rFonts w:hint="eastAsia" w:ascii="仿宋" w:hAnsi="仿宋" w:eastAsia="仿宋" w:cs="仿宋"/>
          <w:sz w:val="24"/>
          <w:szCs w:val="24"/>
        </w:rPr>
        <w:t>并说明偏离情况。</w:t>
      </w:r>
    </w:p>
    <w:p w14:paraId="42FC08F0">
      <w:pPr>
        <w:autoSpaceDE w:val="0"/>
        <w:autoSpaceDN w:val="0"/>
        <w:adjustRightInd w:val="0"/>
        <w:spacing w:line="500" w:lineRule="exact"/>
        <w:ind w:firstLine="480"/>
        <w:rPr>
          <w:rFonts w:ascii="仿宋" w:hAnsi="仿宋" w:eastAsia="仿宋" w:cs="仿宋"/>
          <w:sz w:val="24"/>
          <w:szCs w:val="24"/>
          <w:lang w:val="zh-CN"/>
        </w:rPr>
      </w:pPr>
      <w:r>
        <w:rPr>
          <w:rFonts w:hint="eastAsia" w:ascii="仿宋" w:hAnsi="仿宋" w:eastAsia="仿宋" w:cs="仿宋"/>
          <w:sz w:val="24"/>
          <w:szCs w:val="21"/>
          <w:lang w:val="zh-CN"/>
        </w:rPr>
        <w:t>13.2供应</w:t>
      </w:r>
      <w:r>
        <w:rPr>
          <w:rFonts w:hint="eastAsia" w:ascii="仿宋" w:hAnsi="仿宋" w:eastAsia="仿宋" w:cs="仿宋"/>
          <w:sz w:val="24"/>
          <w:szCs w:val="24"/>
          <w:lang w:val="zh-CN"/>
        </w:rPr>
        <w:t>商</w:t>
      </w:r>
      <w:r>
        <w:rPr>
          <w:rFonts w:hint="eastAsia" w:ascii="仿宋" w:hAnsi="仿宋" w:eastAsia="仿宋" w:cs="仿宋"/>
          <w:sz w:val="24"/>
          <w:szCs w:val="24"/>
        </w:rPr>
        <w:t>须</w:t>
      </w:r>
      <w:r>
        <w:rPr>
          <w:rFonts w:hint="eastAsia" w:ascii="仿宋" w:hAnsi="仿宋" w:eastAsia="仿宋" w:cs="仿宋"/>
          <w:sz w:val="24"/>
          <w:szCs w:val="24"/>
          <w:lang w:val="zh-CN"/>
        </w:rPr>
        <w:t>按照磋商文件要求，在响应文件中提供与技术要求和商务要求相关的证明材料。</w:t>
      </w:r>
    </w:p>
    <w:p w14:paraId="5D203311">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14、服务承诺、培训计划、人员安排及其他</w:t>
      </w:r>
    </w:p>
    <w:p w14:paraId="29D44592">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14.1供应商须根据磋商文件要求提供有关售后服务的管理制度，售后服务机构的分布情况，售后服务人员的数量、素质、技术水平及售后服务的反应能力等。</w:t>
      </w:r>
    </w:p>
    <w:p w14:paraId="5F1D0B26">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14.2供应商须根据磋商文件要求提供培训计划。</w:t>
      </w:r>
    </w:p>
    <w:p w14:paraId="572136C1">
      <w:pPr>
        <w:spacing w:line="480" w:lineRule="exact"/>
        <w:ind w:firstLine="480"/>
        <w:rPr>
          <w:rFonts w:ascii="仿宋" w:hAnsi="仿宋" w:eastAsia="仿宋" w:cs="仿宋"/>
          <w:sz w:val="24"/>
          <w:szCs w:val="24"/>
        </w:rPr>
      </w:pPr>
      <w:r>
        <w:rPr>
          <w:rFonts w:hint="eastAsia" w:ascii="仿宋" w:hAnsi="仿宋" w:eastAsia="仿宋" w:cs="仿宋"/>
          <w:bCs/>
          <w:sz w:val="24"/>
          <w:szCs w:val="24"/>
        </w:rPr>
        <w:t>14.3供应商须根据磋</w:t>
      </w:r>
      <w:r>
        <w:rPr>
          <w:rFonts w:hint="eastAsia" w:ascii="仿宋" w:hAnsi="仿宋" w:eastAsia="仿宋" w:cs="仿宋"/>
          <w:sz w:val="24"/>
          <w:szCs w:val="24"/>
        </w:rPr>
        <w:t>商文件要求提供</w:t>
      </w:r>
      <w:r>
        <w:rPr>
          <w:rFonts w:hint="eastAsia" w:ascii="仿宋" w:hAnsi="仿宋" w:eastAsia="仿宋" w:cs="仿宋"/>
          <w:sz w:val="24"/>
          <w:szCs w:val="21"/>
          <w:lang w:val="zh-CN"/>
        </w:rPr>
        <w:t>磋商响应标的的主要组成部分、功能设计、实现思路及关键技术等。</w:t>
      </w:r>
    </w:p>
    <w:p w14:paraId="7D982849">
      <w:pPr>
        <w:keepNext/>
        <w:keepLines/>
        <w:spacing w:line="500" w:lineRule="exact"/>
        <w:ind w:firstLine="422" w:firstLineChars="150"/>
        <w:outlineLvl w:val="3"/>
        <w:rPr>
          <w:rFonts w:ascii="仿宋" w:hAnsi="仿宋" w:eastAsia="仿宋" w:cs="仿宋"/>
          <w:b/>
          <w:bCs/>
          <w:sz w:val="28"/>
          <w:szCs w:val="28"/>
        </w:rPr>
      </w:pPr>
      <w:bookmarkStart w:id="131" w:name="_Toc49090510"/>
      <w:bookmarkStart w:id="132" w:name="_Toc14577359"/>
      <w:r>
        <w:rPr>
          <w:rFonts w:hint="eastAsia" w:ascii="仿宋" w:hAnsi="仿宋" w:eastAsia="仿宋" w:cs="仿宋"/>
          <w:b/>
          <w:bCs/>
          <w:sz w:val="28"/>
          <w:szCs w:val="28"/>
        </w:rPr>
        <w:t>15、磋商响应函</w:t>
      </w:r>
    </w:p>
    <w:p w14:paraId="721A99DF">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15.1</w:t>
      </w:r>
      <w:r>
        <w:rPr>
          <w:rFonts w:hint="eastAsia" w:ascii="仿宋" w:hAnsi="仿宋" w:eastAsia="仿宋" w:cs="仿宋"/>
          <w:sz w:val="24"/>
          <w:szCs w:val="21"/>
        </w:rPr>
        <w:t>供应商应按照磋商文件中提供的格式完整、正确填写磋商响应函。</w:t>
      </w:r>
    </w:p>
    <w:bookmarkEnd w:id="131"/>
    <w:bookmarkEnd w:id="132"/>
    <w:p w14:paraId="4CDA1942">
      <w:pPr>
        <w:keepNext/>
        <w:keepLines/>
        <w:spacing w:line="500" w:lineRule="exact"/>
        <w:ind w:firstLine="422" w:firstLineChars="150"/>
        <w:outlineLvl w:val="3"/>
        <w:rPr>
          <w:rFonts w:ascii="仿宋" w:hAnsi="仿宋" w:eastAsia="仿宋" w:cs="仿宋"/>
          <w:b/>
          <w:bCs/>
          <w:sz w:val="28"/>
          <w:szCs w:val="28"/>
        </w:rPr>
      </w:pPr>
      <w:bookmarkStart w:id="133" w:name="_Toc49090511"/>
      <w:bookmarkStart w:id="134" w:name="_Toc14577360"/>
      <w:r>
        <w:rPr>
          <w:rFonts w:hint="eastAsia" w:ascii="仿宋" w:hAnsi="仿宋" w:eastAsia="仿宋" w:cs="仿宋"/>
          <w:b/>
          <w:bCs/>
          <w:sz w:val="28"/>
          <w:szCs w:val="28"/>
        </w:rPr>
        <w:t>16、磋商有效期</w:t>
      </w:r>
      <w:bookmarkEnd w:id="133"/>
      <w:bookmarkEnd w:id="134"/>
    </w:p>
    <w:p w14:paraId="1CA84189">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16.1磋商有效期为交易中心规定的提交响应文件截止之日后</w:t>
      </w:r>
      <w:r>
        <w:rPr>
          <w:rFonts w:hint="eastAsia" w:ascii="仿宋" w:hAnsi="仿宋" w:eastAsia="仿宋" w:cs="仿宋"/>
          <w:b/>
          <w:sz w:val="24"/>
          <w:szCs w:val="21"/>
          <w:u w:val="single"/>
        </w:rPr>
        <w:t>六十（60）天</w:t>
      </w:r>
      <w:r>
        <w:rPr>
          <w:rFonts w:hint="eastAsia" w:ascii="仿宋" w:hAnsi="仿宋" w:eastAsia="仿宋" w:cs="仿宋"/>
          <w:bCs/>
          <w:sz w:val="24"/>
          <w:szCs w:val="21"/>
        </w:rPr>
        <w:t>。磋商有效期比规定短的将被视为非实质性响应磋商文件而予以拒绝。</w:t>
      </w:r>
    </w:p>
    <w:p w14:paraId="07916F93">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17、磋商有效期的延长</w:t>
      </w:r>
    </w:p>
    <w:p w14:paraId="216E1CBE">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仿宋" w:hAnsi="仿宋" w:eastAsia="仿宋" w:cs="仿宋"/>
          <w:sz w:val="24"/>
          <w:szCs w:val="24"/>
        </w:rPr>
        <w:t>受磋商有效期约束的所有权利与义务均延长至新的有效期</w:t>
      </w:r>
      <w:r>
        <w:rPr>
          <w:rFonts w:hint="eastAsia" w:ascii="仿宋" w:hAnsi="仿宋" w:eastAsia="仿宋" w:cs="仿宋"/>
          <w:bCs/>
          <w:sz w:val="24"/>
          <w:szCs w:val="21"/>
        </w:rPr>
        <w:t>。</w:t>
      </w:r>
    </w:p>
    <w:p w14:paraId="52665161">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135" w:name="_Hlt26954739"/>
      <w:bookmarkEnd w:id="135"/>
      <w:bookmarkStart w:id="136" w:name="_Hlt26954852"/>
      <w:bookmarkEnd w:id="136"/>
      <w:bookmarkStart w:id="137" w:name="_Toc16938540"/>
      <w:bookmarkStart w:id="138" w:name="_Toc120614217"/>
      <w:bookmarkStart w:id="139" w:name="_Toc513029224"/>
      <w:bookmarkStart w:id="140" w:name="_Toc20823296"/>
      <w:r>
        <w:rPr>
          <w:rFonts w:hint="eastAsia" w:ascii="仿宋" w:hAnsi="仿宋" w:eastAsia="仿宋" w:cs="仿宋"/>
          <w:b/>
          <w:bCs/>
          <w:sz w:val="32"/>
          <w:szCs w:val="32"/>
        </w:rPr>
        <w:t>四、响应文件的递交</w:t>
      </w:r>
      <w:bookmarkEnd w:id="137"/>
      <w:bookmarkEnd w:id="138"/>
      <w:bookmarkEnd w:id="139"/>
      <w:bookmarkEnd w:id="140"/>
    </w:p>
    <w:p w14:paraId="748F095B">
      <w:pPr>
        <w:keepNext/>
        <w:keepLines/>
        <w:spacing w:line="500" w:lineRule="exact"/>
        <w:ind w:firstLine="422" w:firstLineChars="150"/>
        <w:outlineLvl w:val="3"/>
        <w:rPr>
          <w:rFonts w:ascii="仿宋" w:hAnsi="仿宋" w:eastAsia="仿宋" w:cs="仿宋"/>
          <w:b/>
          <w:bCs/>
          <w:sz w:val="28"/>
          <w:szCs w:val="28"/>
        </w:rPr>
      </w:pPr>
      <w:bookmarkStart w:id="141" w:name="_Toc513029225"/>
      <w:bookmarkStart w:id="142" w:name="_Toc16938541"/>
      <w:bookmarkStart w:id="143" w:name="_Toc20823297"/>
      <w:bookmarkStart w:id="144" w:name="_Toc462564084"/>
      <w:r>
        <w:rPr>
          <w:rFonts w:hint="eastAsia" w:ascii="仿宋" w:hAnsi="仿宋" w:eastAsia="仿宋" w:cs="仿宋"/>
          <w:b/>
          <w:bCs/>
          <w:sz w:val="28"/>
          <w:szCs w:val="28"/>
        </w:rPr>
        <w:t>18、电子磋商</w:t>
      </w:r>
      <w:bookmarkEnd w:id="141"/>
      <w:bookmarkEnd w:id="142"/>
      <w:bookmarkEnd w:id="143"/>
      <w:bookmarkEnd w:id="144"/>
      <w:r>
        <w:rPr>
          <w:rFonts w:hint="eastAsia" w:ascii="仿宋" w:hAnsi="仿宋" w:eastAsia="仿宋" w:cs="仿宋"/>
          <w:b/>
          <w:bCs/>
          <w:sz w:val="28"/>
          <w:szCs w:val="28"/>
        </w:rPr>
        <w:t>响应文件的递交</w:t>
      </w:r>
    </w:p>
    <w:p w14:paraId="5D508B17">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18.1供应商应当按照《操作指南》规定，在提交响应文件截止时间前制作并上传电子响应文件。</w:t>
      </w:r>
      <w:bookmarkStart w:id="145" w:name="_Toc513029226"/>
      <w:bookmarkStart w:id="146" w:name="_Toc16938542"/>
      <w:bookmarkStart w:id="147" w:name="_Toc20823298"/>
    </w:p>
    <w:p w14:paraId="2DB7CA06">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19、提交响应文件截止时间</w:t>
      </w:r>
      <w:bookmarkEnd w:id="145"/>
      <w:bookmarkEnd w:id="146"/>
      <w:bookmarkEnd w:id="147"/>
    </w:p>
    <w:p w14:paraId="12566961">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19.1</w:t>
      </w:r>
      <w:r>
        <w:rPr>
          <w:rFonts w:hint="eastAsia" w:ascii="仿宋" w:hAnsi="仿宋" w:eastAsia="仿宋" w:cs="仿宋"/>
          <w:bCs/>
          <w:sz w:val="24"/>
          <w:szCs w:val="21"/>
        </w:rPr>
        <w:t>供应商上传电子响应文件的时间不得迟于磋商公告中规定的提交响应文件截止时间。</w:t>
      </w:r>
    </w:p>
    <w:p w14:paraId="5072FD04">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供应商应充分考虑到网络环境、网络带宽等风险因素，如因供应商自身原因造成的电子响应文件上传不成功的按照本磋商文件第二章第26.7.2条规定做无效响应处理。</w:t>
      </w:r>
    </w:p>
    <w:p w14:paraId="31DC1D9D">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19.2</w:t>
      </w:r>
      <w:r>
        <w:rPr>
          <w:rFonts w:hint="eastAsia" w:ascii="仿宋" w:hAnsi="仿宋" w:eastAsia="仿宋" w:cs="仿宋"/>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p>
    <w:p w14:paraId="1CFCC4DC">
      <w:pPr>
        <w:keepNext/>
        <w:keepLines/>
        <w:spacing w:line="500" w:lineRule="exact"/>
        <w:ind w:firstLine="422" w:firstLineChars="150"/>
        <w:outlineLvl w:val="3"/>
        <w:rPr>
          <w:rFonts w:ascii="仿宋" w:hAnsi="仿宋" w:eastAsia="仿宋" w:cs="仿宋"/>
          <w:b/>
          <w:bCs/>
          <w:sz w:val="28"/>
          <w:szCs w:val="28"/>
        </w:rPr>
      </w:pPr>
      <w:bookmarkStart w:id="148" w:name="_Toc20823299"/>
      <w:bookmarkStart w:id="149" w:name="_Toc16938543"/>
      <w:bookmarkStart w:id="150" w:name="_Toc513029227"/>
      <w:r>
        <w:rPr>
          <w:rFonts w:hint="eastAsia" w:ascii="仿宋" w:hAnsi="仿宋" w:eastAsia="仿宋" w:cs="仿宋"/>
          <w:b/>
          <w:bCs/>
          <w:sz w:val="28"/>
          <w:szCs w:val="28"/>
        </w:rPr>
        <w:t>20、响应文件</w:t>
      </w:r>
      <w:bookmarkEnd w:id="148"/>
      <w:bookmarkEnd w:id="149"/>
      <w:bookmarkEnd w:id="150"/>
      <w:r>
        <w:rPr>
          <w:rFonts w:hint="eastAsia" w:ascii="仿宋" w:hAnsi="仿宋" w:eastAsia="仿宋" w:cs="仿宋"/>
          <w:b/>
          <w:bCs/>
          <w:sz w:val="28"/>
          <w:szCs w:val="28"/>
        </w:rPr>
        <w:t>的拒收</w:t>
      </w:r>
    </w:p>
    <w:p w14:paraId="71C5997C">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20.1 交易中心拒绝接收在其规定的提交响应文件截止时间后上传的任何电子响应文件。</w:t>
      </w:r>
    </w:p>
    <w:p w14:paraId="22F6E45E">
      <w:pPr>
        <w:keepNext/>
        <w:keepLines/>
        <w:spacing w:line="500" w:lineRule="exact"/>
        <w:ind w:firstLine="422" w:firstLineChars="150"/>
        <w:outlineLvl w:val="3"/>
        <w:rPr>
          <w:rFonts w:ascii="仿宋" w:hAnsi="仿宋" w:eastAsia="仿宋" w:cs="仿宋"/>
          <w:b/>
          <w:bCs/>
          <w:sz w:val="28"/>
          <w:szCs w:val="28"/>
        </w:rPr>
      </w:pPr>
      <w:bookmarkStart w:id="151" w:name="_Toc20823300"/>
      <w:bookmarkStart w:id="152" w:name="_Toc16938544"/>
      <w:bookmarkStart w:id="153" w:name="_Toc513029228"/>
      <w:r>
        <w:rPr>
          <w:rFonts w:hint="eastAsia" w:ascii="仿宋" w:hAnsi="仿宋" w:eastAsia="仿宋" w:cs="仿宋"/>
          <w:b/>
          <w:bCs/>
          <w:sz w:val="28"/>
          <w:szCs w:val="28"/>
        </w:rPr>
        <w:t>21、响应文件的撤回和修改</w:t>
      </w:r>
      <w:bookmarkEnd w:id="151"/>
      <w:bookmarkEnd w:id="152"/>
      <w:bookmarkEnd w:id="153"/>
    </w:p>
    <w:p w14:paraId="689290B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21.1响应文件的撤回</w:t>
      </w:r>
    </w:p>
    <w:p w14:paraId="69DB7130">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21.1.1 电子响应文件的撤回</w:t>
      </w:r>
    </w:p>
    <w:p w14:paraId="52EA175D">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截止时间前，撤回其电子响应文件，具体操作方法见《操作指南》。</w:t>
      </w:r>
    </w:p>
    <w:p w14:paraId="12CA85C6">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21.1.2供应商撤回电子响应文件，则认为其不再参与本项目磋商活动。</w:t>
      </w:r>
    </w:p>
    <w:p w14:paraId="1D695074">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21.2响应文件的修改</w:t>
      </w:r>
    </w:p>
    <w:p w14:paraId="09407861">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截止时间前，对其电子响应文件进行修改，具体操作方法见《操作指南》。</w:t>
      </w:r>
    </w:p>
    <w:p w14:paraId="70F13996">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21.3</w:t>
      </w:r>
      <w:r>
        <w:rPr>
          <w:rFonts w:hint="eastAsia" w:ascii="仿宋" w:hAnsi="仿宋" w:eastAsia="仿宋" w:cs="仿宋"/>
          <w:bCs/>
          <w:sz w:val="24"/>
          <w:szCs w:val="21"/>
        </w:rPr>
        <w:t xml:space="preserve"> 在提交响应文件截止时间之后，供应商不得对其电子响应文件作任何修改。</w:t>
      </w:r>
    </w:p>
    <w:p w14:paraId="755CA732">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p>
    <w:p w14:paraId="130F6876">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154" w:name="_Toc16938545"/>
      <w:bookmarkStart w:id="155" w:name="_Toc20823301"/>
      <w:bookmarkStart w:id="156" w:name="_Toc120614218"/>
      <w:bookmarkStart w:id="157" w:name="_Toc513029229"/>
      <w:r>
        <w:rPr>
          <w:rFonts w:hint="eastAsia" w:ascii="仿宋" w:hAnsi="仿宋" w:eastAsia="仿宋" w:cs="仿宋"/>
          <w:b/>
          <w:bCs/>
          <w:sz w:val="32"/>
          <w:szCs w:val="32"/>
        </w:rPr>
        <w:t>五、响应文件的解密与评审</w:t>
      </w:r>
      <w:bookmarkEnd w:id="154"/>
      <w:bookmarkEnd w:id="155"/>
      <w:bookmarkEnd w:id="156"/>
      <w:bookmarkEnd w:id="157"/>
    </w:p>
    <w:p w14:paraId="5C759C2C">
      <w:pPr>
        <w:keepNext/>
        <w:keepLines/>
        <w:spacing w:line="500" w:lineRule="exact"/>
        <w:ind w:firstLine="422" w:firstLineChars="150"/>
        <w:outlineLvl w:val="3"/>
        <w:rPr>
          <w:rFonts w:ascii="仿宋" w:hAnsi="仿宋" w:eastAsia="仿宋" w:cs="仿宋"/>
          <w:b/>
          <w:bCs/>
          <w:sz w:val="28"/>
          <w:szCs w:val="28"/>
        </w:rPr>
      </w:pPr>
      <w:bookmarkStart w:id="158" w:name="_Toc16938546"/>
      <w:bookmarkStart w:id="159" w:name="_Toc20823302"/>
      <w:bookmarkStart w:id="160" w:name="_Toc513029230"/>
      <w:r>
        <w:rPr>
          <w:rFonts w:hint="eastAsia" w:ascii="仿宋" w:hAnsi="仿宋" w:eastAsia="仿宋" w:cs="仿宋"/>
          <w:b/>
          <w:bCs/>
          <w:sz w:val="28"/>
          <w:szCs w:val="28"/>
        </w:rPr>
        <w:t>22、</w:t>
      </w:r>
      <w:bookmarkEnd w:id="158"/>
      <w:bookmarkEnd w:id="159"/>
      <w:bookmarkEnd w:id="160"/>
      <w:r>
        <w:rPr>
          <w:rFonts w:hint="eastAsia" w:ascii="仿宋" w:hAnsi="仿宋" w:eastAsia="仿宋" w:cs="仿宋"/>
          <w:b/>
          <w:bCs/>
          <w:sz w:val="28"/>
          <w:szCs w:val="28"/>
        </w:rPr>
        <w:t>响应文件解密</w:t>
      </w:r>
    </w:p>
    <w:p w14:paraId="046B877A">
      <w:pPr>
        <w:spacing w:line="500" w:lineRule="exact"/>
        <w:ind w:firstLine="360" w:firstLineChars="150"/>
        <w:rPr>
          <w:rFonts w:ascii="仿宋" w:hAnsi="仿宋" w:eastAsia="仿宋" w:cs="仿宋"/>
          <w:szCs w:val="21"/>
        </w:rPr>
      </w:pPr>
      <w:r>
        <w:rPr>
          <w:rFonts w:hint="eastAsia" w:ascii="仿宋" w:hAnsi="仿宋" w:eastAsia="仿宋" w:cs="仿宋"/>
          <w:sz w:val="24"/>
          <w:szCs w:val="21"/>
        </w:rPr>
        <w:t>22.1</w:t>
      </w:r>
      <w:r>
        <w:rPr>
          <w:rFonts w:hint="eastAsia" w:ascii="仿宋" w:hAnsi="仿宋" w:eastAsia="仿宋" w:cs="仿宋"/>
          <w:sz w:val="24"/>
          <w:szCs w:val="24"/>
        </w:rPr>
        <w:t>供应商应当按照《操作指南》规定，在苏采云系统规定的时间内对磋商响应文件进行解密。</w:t>
      </w:r>
    </w:p>
    <w:p w14:paraId="3800D517">
      <w:pPr>
        <w:keepNext/>
        <w:keepLines/>
        <w:spacing w:line="500" w:lineRule="exact"/>
        <w:ind w:firstLine="422" w:firstLineChars="150"/>
        <w:outlineLvl w:val="3"/>
        <w:rPr>
          <w:rFonts w:ascii="仿宋" w:hAnsi="仿宋" w:eastAsia="仿宋" w:cs="仿宋"/>
          <w:b/>
          <w:bCs/>
          <w:sz w:val="28"/>
          <w:szCs w:val="28"/>
        </w:rPr>
      </w:pPr>
      <w:bookmarkStart w:id="161" w:name="_Toc20823303"/>
      <w:bookmarkStart w:id="162" w:name="_Toc513029231"/>
      <w:bookmarkStart w:id="163" w:name="_Toc16938547"/>
      <w:r>
        <w:rPr>
          <w:rFonts w:hint="eastAsia" w:ascii="仿宋" w:hAnsi="仿宋" w:eastAsia="仿宋" w:cs="仿宋"/>
          <w:b/>
          <w:bCs/>
          <w:sz w:val="28"/>
          <w:szCs w:val="28"/>
        </w:rPr>
        <w:t>23、磋商小组</w:t>
      </w:r>
    </w:p>
    <w:p w14:paraId="4DF34188">
      <w:pPr>
        <w:spacing w:line="500" w:lineRule="exact"/>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23.1交易中心将组织磋商小组对响应文件进行评审。磋商小组由采购人代表和有关技术、经济等方面的专家组成，且人员构成符合政府采购有关规定。</w:t>
      </w:r>
    </w:p>
    <w:p w14:paraId="23BF2AB9">
      <w:pPr>
        <w:spacing w:line="500" w:lineRule="exact"/>
        <w:rPr>
          <w:rFonts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23.2磋商小组独立工作，负责评审所有响应文件并确定成交候选人。</w:t>
      </w:r>
    </w:p>
    <w:p w14:paraId="0FB118DC">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24、评审过程的保密与公正</w:t>
      </w:r>
    </w:p>
    <w:bookmarkEnd w:id="161"/>
    <w:bookmarkEnd w:id="162"/>
    <w:bookmarkEnd w:id="163"/>
    <w:p w14:paraId="5A99C5A5">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24.1</w:t>
      </w:r>
      <w:r>
        <w:rPr>
          <w:rFonts w:hint="eastAsia" w:ascii="仿宋" w:hAnsi="仿宋" w:eastAsia="仿宋" w:cs="仿宋"/>
          <w:bCs/>
          <w:sz w:val="24"/>
          <w:szCs w:val="21"/>
        </w:rPr>
        <w:t>磋商小组、采购人和交易中心工作人员、相关监督人员等与评审工作有关的人员，对评审情况以及在评审过程中获悉的国家秘密、商业秘密负有保密责任。</w:t>
      </w:r>
    </w:p>
    <w:p w14:paraId="00721AD6">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24.2</w:t>
      </w:r>
      <w:r>
        <w:rPr>
          <w:rFonts w:hint="eastAsia" w:ascii="仿宋" w:hAnsi="仿宋" w:eastAsia="仿宋" w:cs="仿宋"/>
          <w:sz w:val="24"/>
          <w:szCs w:val="24"/>
        </w:rPr>
        <w:t>在评审过程中，供应商不得以任何行为影响磋商评审过程，否则其响应文件将被作为无效响应文件。</w:t>
      </w:r>
    </w:p>
    <w:p w14:paraId="1744A642">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24.3</w:t>
      </w:r>
      <w:r>
        <w:rPr>
          <w:rFonts w:hint="eastAsia" w:ascii="仿宋" w:hAnsi="仿宋" w:eastAsia="仿宋" w:cs="仿宋"/>
          <w:sz w:val="24"/>
          <w:szCs w:val="24"/>
        </w:rPr>
        <w:t>在项目评审期间，交易中心将设专门人员与供应商联系。</w:t>
      </w:r>
    </w:p>
    <w:p w14:paraId="312E887D">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24.4 交易中心和磋商小组不向未成交的供应商解释未成交原因，也不公布评审过程中的相关细节。</w:t>
      </w:r>
    </w:p>
    <w:p w14:paraId="7B8DB0CB">
      <w:pPr>
        <w:keepNext/>
        <w:keepLines/>
        <w:spacing w:line="500" w:lineRule="exact"/>
        <w:ind w:firstLine="422" w:firstLineChars="150"/>
        <w:outlineLvl w:val="3"/>
        <w:rPr>
          <w:rFonts w:ascii="仿宋" w:hAnsi="仿宋" w:eastAsia="仿宋" w:cs="仿宋"/>
          <w:b/>
          <w:bCs/>
          <w:sz w:val="28"/>
          <w:szCs w:val="28"/>
        </w:rPr>
      </w:pPr>
      <w:bookmarkStart w:id="164" w:name="_Toc16938548"/>
      <w:bookmarkStart w:id="165" w:name="_Toc513029232"/>
      <w:bookmarkStart w:id="166" w:name="_Toc20823304"/>
      <w:r>
        <w:rPr>
          <w:rFonts w:hint="eastAsia" w:ascii="仿宋" w:hAnsi="仿宋" w:eastAsia="仿宋" w:cs="仿宋"/>
          <w:b/>
          <w:bCs/>
          <w:sz w:val="28"/>
          <w:szCs w:val="28"/>
        </w:rPr>
        <w:t>25、评审过程中的澄清</w:t>
      </w:r>
      <w:bookmarkEnd w:id="164"/>
      <w:bookmarkEnd w:id="165"/>
      <w:bookmarkEnd w:id="166"/>
    </w:p>
    <w:p w14:paraId="7FFE455E">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2CFFDA3">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磋商小组并非对每个供应商都作澄清要求。</w:t>
      </w:r>
    </w:p>
    <w:p w14:paraId="190517FE">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p>
    <w:p w14:paraId="7EF9C0CD">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p>
    <w:p w14:paraId="6DA1CF13">
      <w:pPr>
        <w:keepNext/>
        <w:keepLines/>
        <w:spacing w:line="500" w:lineRule="exact"/>
        <w:ind w:firstLine="422" w:firstLineChars="150"/>
        <w:outlineLvl w:val="3"/>
        <w:rPr>
          <w:rFonts w:ascii="仿宋" w:hAnsi="仿宋" w:eastAsia="仿宋" w:cs="仿宋"/>
          <w:b/>
          <w:bCs/>
          <w:sz w:val="28"/>
          <w:szCs w:val="28"/>
        </w:rPr>
      </w:pPr>
      <w:bookmarkStart w:id="167" w:name="_Toc513029233"/>
      <w:bookmarkStart w:id="168" w:name="_Toc20823305"/>
      <w:bookmarkStart w:id="169" w:name="_Toc16938549"/>
      <w:r>
        <w:rPr>
          <w:rFonts w:hint="eastAsia" w:ascii="仿宋" w:hAnsi="仿宋" w:eastAsia="仿宋" w:cs="仿宋"/>
          <w:b/>
          <w:bCs/>
          <w:sz w:val="28"/>
          <w:szCs w:val="28"/>
        </w:rPr>
        <w:t>26、对响应文件的审</w:t>
      </w:r>
      <w:bookmarkEnd w:id="167"/>
      <w:bookmarkEnd w:id="168"/>
      <w:bookmarkEnd w:id="169"/>
      <w:r>
        <w:rPr>
          <w:rFonts w:hint="eastAsia" w:ascii="仿宋" w:hAnsi="仿宋" w:eastAsia="仿宋" w:cs="仿宋"/>
          <w:b/>
          <w:bCs/>
          <w:sz w:val="28"/>
          <w:szCs w:val="28"/>
        </w:rPr>
        <w:t>查</w:t>
      </w:r>
    </w:p>
    <w:p w14:paraId="7AF6BFF1">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26.1</w:t>
      </w:r>
      <w:r>
        <w:rPr>
          <w:rFonts w:hint="eastAsia" w:ascii="仿宋" w:hAnsi="仿宋" w:eastAsia="仿宋" w:cs="仿宋"/>
          <w:bCs/>
          <w:sz w:val="24"/>
          <w:szCs w:val="21"/>
        </w:rPr>
        <w:t>响应文件审查分为资格审查和符合性审查。</w:t>
      </w:r>
    </w:p>
    <w:p w14:paraId="555F2151">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26.1.1 资格审查：由磋商小组依据法律法规和磋商文件的规定，对响应文件中的资格证明文件进行审查，以确定供应商是否具备参加磋商的资格。</w:t>
      </w:r>
    </w:p>
    <w:p w14:paraId="2F6F2A3F">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磋商小组在进行资格审查的同时，将在“信用中国”网站（www.creditchina.gov.cn）查询供应商的信用记录，以确定供应商是否具备磋商资格,查询结果留存并归档。</w:t>
      </w:r>
    </w:p>
    <w:p w14:paraId="1E311E50">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接受联合体的项目，两个以上的自然人、法人或者其他组织组成一个联合体，以一个供应商的身份共同参加政府采购活动的,联合体成员中任何一方存在不良信用记录的，视同联合体存在不良信用记录。</w:t>
      </w:r>
    </w:p>
    <w:p w14:paraId="10524C22">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26.1.2 符合性审查：依据磋商文件的规定，由磋商小组从响应文件的有效性、完整性和对磋商文件的响应程度进行审查，以确定是否对磋商文件的实质性要求作出响应。</w:t>
      </w:r>
    </w:p>
    <w:p w14:paraId="5FA9363E">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26.1.3 未通过资格审查或符合性审查的供应商，磋商小组将在苏采云系统中告知未通过资格审查或符合性审查的原因，评审结束后，磋商小组将不再告知未通过资格审查或符合性审查的原因。</w:t>
      </w:r>
    </w:p>
    <w:p w14:paraId="2D0DA3D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26.2</w:t>
      </w:r>
      <w:r>
        <w:rPr>
          <w:rFonts w:hint="eastAsia" w:ascii="仿宋" w:hAnsi="仿宋" w:eastAsia="仿宋" w:cs="仿宋"/>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47EC817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BAAC89D">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26.3如果响应文件实质上没有响应磋商文件的要求，磋商小组将按无效响应处理，供应商不得通过修改或撤销不合要求的偏离或保留而使其成为实质性响应的文件。</w:t>
      </w:r>
    </w:p>
    <w:p w14:paraId="45238990">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26.4磋商小组将对确定为实质性响应的文件进行进一步审核，看其是否有计算上或累加上的算术错误，修正错误的原则如下：</w:t>
      </w:r>
    </w:p>
    <w:p w14:paraId="267AE9F3">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（1）响应文件中磋商报价表内容与响应文件中相应内容不一致的，以磋商报价表为准。</w:t>
      </w:r>
    </w:p>
    <w:p w14:paraId="62AD610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0B5F7DA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（3）单价金额小数点或者百分比有明显错位的，以磋商报价表的总价为准，并修改单价。</w:t>
      </w:r>
    </w:p>
    <w:p w14:paraId="7225337E">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57E363B0">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同时出现两种以上错误的，按照前款规定的顺序修正。</w:t>
      </w:r>
    </w:p>
    <w:p w14:paraId="1D4CCCCF">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26.5磋商小组将按上述修正错误的方法调整响应文件中的报价，并通过“苏采云系统”告知供应商，调整后的价格应对供应商具有约束力。如果供应商不接受修正后的价格，则其磋商活动将被拒绝。</w:t>
      </w:r>
    </w:p>
    <w:p w14:paraId="6F53423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26.6磋商小组将允许修正响应文件中不构成重大偏离的、微小的、非正规的、不一致的或不规则的地方，但这些修改不能影响任何供应商相应的名次排列。</w:t>
      </w:r>
    </w:p>
    <w:p w14:paraId="7FADE1E5">
      <w:pPr>
        <w:spacing w:line="400" w:lineRule="exact"/>
        <w:ind w:firstLine="420"/>
        <w:rPr>
          <w:rFonts w:ascii="仿宋" w:hAnsi="仿宋" w:eastAsia="仿宋" w:cs="仿宋"/>
          <w:b/>
          <w:bCs/>
          <w:color w:val="000000"/>
          <w:sz w:val="24"/>
          <w:szCs w:val="21"/>
        </w:rPr>
      </w:pPr>
      <w:r>
        <w:rPr>
          <w:rFonts w:hint="eastAsia" w:ascii="仿宋" w:hAnsi="仿宋" w:eastAsia="仿宋" w:cs="仿宋"/>
          <w:b/>
          <w:bCs/>
          <w:color w:val="000000"/>
          <w:sz w:val="24"/>
          <w:szCs w:val="21"/>
        </w:rPr>
        <w:t>26.7.异常低价审查</w:t>
      </w:r>
    </w:p>
    <w:p w14:paraId="44BF8E36">
      <w:pPr>
        <w:spacing w:line="400" w:lineRule="exact"/>
        <w:ind w:firstLine="420"/>
        <w:rPr>
          <w:rFonts w:ascii="仿宋" w:hAnsi="仿宋" w:eastAsia="仿宋" w:cs="仿宋"/>
          <w:color w:val="000000"/>
          <w:sz w:val="24"/>
          <w:szCs w:val="21"/>
        </w:rPr>
      </w:pPr>
      <w:r>
        <w:rPr>
          <w:rFonts w:hint="eastAsia" w:ascii="仿宋" w:hAnsi="仿宋" w:eastAsia="仿宋" w:cs="仿宋"/>
          <w:color w:val="000000"/>
          <w:sz w:val="24"/>
          <w:szCs w:val="21"/>
        </w:rPr>
        <w:t>26.7.1根据省财政厅《关于推动解决政府采购异常低价问题相关工作的通知》（苏财购〔2025〕62号）要求，评审过程中出现下列情形之一的，</w:t>
      </w:r>
      <w:r>
        <w:rPr>
          <w:rFonts w:hint="eastAsia" w:ascii="仿宋" w:hAnsi="仿宋" w:eastAsia="仿宋" w:cs="仿宋"/>
          <w:sz w:val="24"/>
          <w:szCs w:val="24"/>
        </w:rPr>
        <w:t>磋商小组</w:t>
      </w:r>
      <w:r>
        <w:rPr>
          <w:rFonts w:hint="eastAsia" w:ascii="仿宋" w:hAnsi="仿宋" w:eastAsia="仿宋" w:cs="仿宋"/>
          <w:color w:val="000000"/>
          <w:sz w:val="24"/>
          <w:szCs w:val="21"/>
        </w:rPr>
        <w:t>应当启动异常低价投标（响应）审查程序：</w:t>
      </w:r>
    </w:p>
    <w:p w14:paraId="1C83B0A4">
      <w:pPr>
        <w:spacing w:line="400" w:lineRule="exact"/>
        <w:ind w:firstLine="420"/>
        <w:rPr>
          <w:rFonts w:ascii="仿宋" w:hAnsi="仿宋" w:eastAsia="仿宋" w:cs="仿宋"/>
          <w:color w:val="000000"/>
          <w:sz w:val="24"/>
          <w:szCs w:val="21"/>
        </w:rPr>
      </w:pPr>
      <w:r>
        <w:rPr>
          <w:rFonts w:hint="eastAsia" w:ascii="仿宋" w:hAnsi="仿宋" w:eastAsia="仿宋" w:cs="仿宋"/>
          <w:color w:val="000000"/>
          <w:sz w:val="24"/>
          <w:szCs w:val="21"/>
        </w:rPr>
        <w:t>26.7.1.1投标(响应)报价低于采购项目预算50%的，即投标(响应)报价&lt;采购项目预算×50%;</w:t>
      </w:r>
    </w:p>
    <w:p w14:paraId="5AAE7B87">
      <w:pPr>
        <w:spacing w:line="400" w:lineRule="exact"/>
        <w:ind w:firstLine="420"/>
        <w:rPr>
          <w:rFonts w:ascii="仿宋" w:hAnsi="仿宋" w:eastAsia="仿宋" w:cs="仿宋"/>
          <w:color w:val="000000"/>
          <w:sz w:val="24"/>
          <w:szCs w:val="21"/>
        </w:rPr>
      </w:pPr>
      <w:r>
        <w:rPr>
          <w:rFonts w:hint="eastAsia" w:ascii="仿宋" w:hAnsi="仿宋" w:eastAsia="仿宋" w:cs="仿宋"/>
          <w:color w:val="000000"/>
          <w:sz w:val="24"/>
          <w:szCs w:val="21"/>
        </w:rPr>
        <w:t>26.7.1.2</w:t>
      </w:r>
      <w:r>
        <w:rPr>
          <w:rFonts w:hint="eastAsia" w:ascii="仿宋" w:hAnsi="仿宋" w:eastAsia="仿宋" w:cs="仿宋"/>
          <w:sz w:val="24"/>
          <w:szCs w:val="24"/>
        </w:rPr>
        <w:t>磋商小组</w:t>
      </w:r>
      <w:r>
        <w:rPr>
          <w:rFonts w:hint="eastAsia" w:ascii="仿宋" w:hAnsi="仿宋" w:eastAsia="仿宋" w:cs="仿宋"/>
          <w:color w:val="000000"/>
          <w:sz w:val="24"/>
          <w:szCs w:val="21"/>
        </w:rPr>
        <w:t>认定的供应商报价过低、有可能影响产品质量或者不能诚信履约的其他情形。</w:t>
      </w:r>
    </w:p>
    <w:p w14:paraId="48349586">
      <w:pPr>
        <w:spacing w:line="400" w:lineRule="exact"/>
        <w:ind w:firstLine="420"/>
        <w:rPr>
          <w:rFonts w:ascii="仿宋" w:hAnsi="仿宋" w:eastAsia="仿宋" w:cs="仿宋"/>
        </w:rPr>
      </w:pPr>
      <w:r>
        <w:rPr>
          <w:rFonts w:hint="eastAsia" w:ascii="仿宋" w:hAnsi="仿宋" w:eastAsia="仿宋" w:cs="仿宋"/>
          <w:color w:val="000000"/>
          <w:sz w:val="24"/>
          <w:szCs w:val="21"/>
        </w:rPr>
        <w:t>26.7.2启动异常低价投标(响应)审查后，</w:t>
      </w:r>
      <w:r>
        <w:rPr>
          <w:rFonts w:hint="eastAsia" w:ascii="仿宋" w:hAnsi="仿宋" w:eastAsia="仿宋" w:cs="仿宋"/>
          <w:sz w:val="24"/>
          <w:szCs w:val="24"/>
        </w:rPr>
        <w:t>磋商小组</w:t>
      </w:r>
      <w:r>
        <w:rPr>
          <w:rFonts w:hint="eastAsia" w:ascii="仿宋" w:hAnsi="仿宋" w:eastAsia="仿宋" w:cs="仿宋"/>
          <w:color w:val="000000"/>
          <w:sz w:val="24"/>
          <w:szCs w:val="21"/>
        </w:rPr>
        <w:t>应当要求相关供应商在评标现场合理的时间内，提供项目具体成本测算等与报价合理性相关的书面说明及相关证明材料，对投标(响应)价格作出解释，由</w:t>
      </w:r>
      <w:r>
        <w:rPr>
          <w:rFonts w:hint="eastAsia" w:ascii="仿宋" w:hAnsi="仿宋" w:eastAsia="仿宋" w:cs="仿宋"/>
          <w:sz w:val="24"/>
          <w:szCs w:val="24"/>
        </w:rPr>
        <w:t>磋商小组</w:t>
      </w:r>
      <w:r>
        <w:rPr>
          <w:rFonts w:hint="eastAsia" w:ascii="仿宋" w:hAnsi="仿宋" w:eastAsia="仿宋" w:cs="仿宋"/>
          <w:color w:val="000000"/>
          <w:sz w:val="24"/>
          <w:szCs w:val="21"/>
        </w:rPr>
        <w:t>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仿宋"/>
          <w:sz w:val="24"/>
          <w:szCs w:val="24"/>
        </w:rPr>
        <w:t>磋商小组</w:t>
      </w:r>
      <w:r>
        <w:rPr>
          <w:rFonts w:hint="eastAsia" w:ascii="仿宋" w:hAnsi="仿宋" w:eastAsia="仿宋" w:cs="仿宋"/>
          <w:color w:val="000000"/>
          <w:sz w:val="24"/>
          <w:szCs w:val="21"/>
        </w:rPr>
        <w:t>应当将其作为无效投标(响应)处理。审查相关情况应当在评审报告中进行记录。</w:t>
      </w:r>
    </w:p>
    <w:p w14:paraId="18DFA869">
      <w:pPr>
        <w:spacing w:line="50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26.8出现下列情形之一的，作无效响应处理。</w:t>
      </w:r>
    </w:p>
    <w:p w14:paraId="37716DC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26.8.1供应商在“苏采云系统”规定的时间内未成功解密电子响应文件的。</w:t>
      </w:r>
    </w:p>
    <w:p w14:paraId="4524424C">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26.8.2供应商未按照磋商文件要求上传电子响应文件的,或上传的文件打不开的。</w:t>
      </w:r>
    </w:p>
    <w:p w14:paraId="4BDB98DE">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26.8.3</w:t>
      </w:r>
      <w:r>
        <w:rPr>
          <w:rFonts w:hint="eastAsia" w:ascii="仿宋" w:hAnsi="仿宋" w:eastAsia="仿宋" w:cs="仿宋"/>
          <w:bCs/>
          <w:sz w:val="24"/>
          <w:szCs w:val="21"/>
        </w:rPr>
        <w:t>供应商同一分包提交两个（含两个）以上不同的响应文件或者响应报价的。</w:t>
      </w:r>
    </w:p>
    <w:p w14:paraId="37C30243">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26.8.4供应商不具备磋商文件中规定的资格要求的。 </w:t>
      </w:r>
    </w:p>
    <w:p w14:paraId="51B002D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26.8.5供应商的响应报价超过了采购预算或最高限价的。 </w:t>
      </w:r>
    </w:p>
    <w:p w14:paraId="2759CC1E">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26.8.6未通过符合性审查的。</w:t>
      </w:r>
    </w:p>
    <w:p w14:paraId="757C6A45">
      <w:pPr>
        <w:spacing w:line="500" w:lineRule="exact"/>
        <w:ind w:firstLine="480" w:firstLineChars="200"/>
        <w:rPr>
          <w:rFonts w:ascii="仿宋" w:hAnsi="仿宋" w:eastAsia="仿宋" w:cs="仿宋"/>
          <w:i/>
          <w:iCs/>
          <w:color w:val="0000FF"/>
          <w:sz w:val="24"/>
          <w:szCs w:val="24"/>
          <w:u w:val="single"/>
        </w:rPr>
      </w:pPr>
      <w:r>
        <w:rPr>
          <w:rFonts w:hint="eastAsia" w:ascii="仿宋" w:hAnsi="仿宋" w:eastAsia="仿宋" w:cs="仿宋"/>
          <w:sz w:val="24"/>
          <w:szCs w:val="24"/>
        </w:rPr>
        <w:t>26.8.7不符合法律、法规和磋商文件中规定的实质性要求的</w:t>
      </w:r>
      <w:r>
        <w:rPr>
          <w:rFonts w:hint="eastAsia" w:ascii="仿宋" w:hAnsi="仿宋" w:eastAsia="仿宋" w:cs="仿宋"/>
          <w:i/>
          <w:iCs/>
          <w:color w:val="0000FF"/>
          <w:sz w:val="24"/>
          <w:szCs w:val="24"/>
          <w:u w:val="single"/>
        </w:rPr>
        <w:t>（本磋商文件中斜体且有下划线部分为实质性要求）。</w:t>
      </w:r>
    </w:p>
    <w:p w14:paraId="383A63CE">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349159F">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26.8.9响应文件含有采购人不能接受的附加条件的。</w:t>
      </w:r>
    </w:p>
    <w:p w14:paraId="0EC4964C">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26.8.10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4B7663AE">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26.8.11本项目采购产品被财政部、国家发改委、生态环境部等列入“节能产品品目清单”、“环境标志产品品目清单”强制采购范围，而供应商所投标产品不在强制采购范围内的。（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1"/>
        </w:rPr>
        <w:t>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4"/>
          <w:szCs w:val="21"/>
        </w:rPr>
        <w:t>）。</w:t>
      </w:r>
    </w:p>
    <w:p w14:paraId="595B159E">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26.8.12响应文件未按照磋商文件要求加盖CA电子公章的。</w:t>
      </w:r>
    </w:p>
    <w:p w14:paraId="6187592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26.8.13未在规定时间内提交最后报价的，视作无效响应处理。</w:t>
      </w:r>
    </w:p>
    <w:p w14:paraId="44C7981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26.8.14其他法律、法规及本磋商文件规定的属无效响应的情形。</w:t>
      </w:r>
    </w:p>
    <w:p w14:paraId="5D096246">
      <w:pPr>
        <w:spacing w:line="500" w:lineRule="exact"/>
        <w:ind w:firstLine="480" w:firstLineChars="200"/>
        <w:rPr>
          <w:rFonts w:ascii="仿宋" w:hAnsi="仿宋" w:eastAsia="仿宋" w:cs="仿宋"/>
          <w:sz w:val="24"/>
          <w:szCs w:val="21"/>
        </w:rPr>
      </w:pPr>
      <w:bookmarkStart w:id="170" w:name="_Toc513029234"/>
      <w:bookmarkStart w:id="171" w:name="_Toc16938550"/>
      <w:bookmarkStart w:id="172" w:name="_Toc20823306"/>
      <w:r>
        <w:rPr>
          <w:rFonts w:hint="eastAsia" w:ascii="仿宋" w:hAnsi="仿宋" w:eastAsia="仿宋" w:cs="仿宋"/>
          <w:sz w:val="24"/>
          <w:szCs w:val="21"/>
        </w:rPr>
        <w:t>26.9供应商在项目评审全过程中应保持通讯畅通，并安排专人与交易中心及磋商小组联系。</w:t>
      </w:r>
    </w:p>
    <w:p w14:paraId="503ED507">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27、</w:t>
      </w:r>
      <w:bookmarkEnd w:id="170"/>
      <w:bookmarkEnd w:id="171"/>
      <w:bookmarkEnd w:id="172"/>
      <w:r>
        <w:rPr>
          <w:rFonts w:hint="eastAsia" w:ascii="仿宋" w:hAnsi="仿宋" w:eastAsia="仿宋" w:cs="仿宋"/>
          <w:b/>
          <w:bCs/>
          <w:sz w:val="28"/>
          <w:szCs w:val="28"/>
        </w:rPr>
        <w:t>磋商程序及评审方法和评审标准</w:t>
      </w:r>
    </w:p>
    <w:p w14:paraId="6581E44D">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27.1磋商程序</w:t>
      </w:r>
    </w:p>
    <w:p w14:paraId="7196AA12">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EAF1A16">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3251946">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w:t>
      </w:r>
      <w:r>
        <w:rPr>
          <w:rFonts w:hint="eastAsia" w:ascii="仿宋" w:hAnsi="仿宋" w:eastAsia="仿宋" w:cs="仿宋"/>
          <w:sz w:val="24"/>
          <w:szCs w:val="24"/>
          <w:highlight w:val="yellow"/>
        </w:rPr>
        <w:t>（</w:t>
      </w:r>
      <w:r>
        <w:rPr>
          <w:rFonts w:hint="eastAsia" w:ascii="仿宋" w:hAnsi="仿宋" w:eastAsia="仿宋" w:cs="仿宋"/>
          <w:sz w:val="24"/>
          <w:szCs w:val="24"/>
          <w:highlight w:val="yellow"/>
          <w:lang w:val="en-US" w:eastAsia="zh-CN"/>
        </w:rPr>
        <w:t>1</w:t>
      </w:r>
      <w:r>
        <w:rPr>
          <w:rFonts w:hint="eastAsia" w:ascii="仿宋" w:hAnsi="仿宋" w:eastAsia="仿宋" w:cs="仿宋"/>
          <w:sz w:val="24"/>
          <w:szCs w:val="24"/>
          <w:highlight w:val="yellow"/>
        </w:rPr>
        <w:t>0分钟）</w:t>
      </w:r>
      <w:r>
        <w:rPr>
          <w:rFonts w:hint="eastAsia" w:ascii="仿宋" w:hAnsi="仿宋" w:eastAsia="仿宋" w:cs="仿宋"/>
          <w:sz w:val="24"/>
          <w:szCs w:val="24"/>
        </w:rPr>
        <w:t>提交最后报价。</w:t>
      </w:r>
    </w:p>
    <w:p w14:paraId="7F968FB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DECB1CD">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仿宋" w:hAnsi="仿宋" w:eastAsia="仿宋" w:cs="仿宋"/>
          <w:color w:val="FF0000"/>
          <w:sz w:val="24"/>
          <w:szCs w:val="21"/>
        </w:rPr>
        <w:t>〔2015〕124号</w:t>
      </w:r>
      <w:r>
        <w:rPr>
          <w:rFonts w:hint="eastAsia" w:ascii="仿宋" w:hAnsi="仿宋" w:eastAsia="仿宋" w:cs="仿宋"/>
          <w:sz w:val="24"/>
          <w:szCs w:val="21"/>
        </w:rPr>
        <w:t>）规定情形的，提交最后报价的供应商可以为2家。</w:t>
      </w:r>
    </w:p>
    <w:p w14:paraId="4507787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6E43BD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 评审方法和评审标准</w:t>
      </w:r>
    </w:p>
    <w:p w14:paraId="606DA9BD">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27.2.1评审方法。经磋商确定最终采购需求和提交最后报价的供应商后，由磋商小组采用综合评分法对提交最后报价的供应商的响应文件和最后报价进行综合评分。</w:t>
      </w:r>
    </w:p>
    <w:p w14:paraId="0820874C">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03F730D">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27.2.2评审标准</w:t>
      </w:r>
    </w:p>
    <w:p w14:paraId="3F9E963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见本磋商文件第五章规定。</w:t>
      </w:r>
    </w:p>
    <w:p w14:paraId="78AFC6EF">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27.3采购活动终止的情况</w:t>
      </w:r>
    </w:p>
    <w:p w14:paraId="46E4142F">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出现下列情形之一的，本次竞争性磋商采购活动将被终止：</w:t>
      </w:r>
    </w:p>
    <w:p w14:paraId="086C43C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27.3.1因情况变化，不再符合规定的竞争性磋商采购方式适用情形的。</w:t>
      </w:r>
    </w:p>
    <w:p w14:paraId="187CA38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27.3.2出现影响采购公正的违法、违规行为的。</w:t>
      </w:r>
    </w:p>
    <w:p w14:paraId="106B8BF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27.3.3除本磋商文件第二章第27.1.2条第三款规定的情形外，在采购过程中符合要求的供应商或者最后报价未超过采购预算的供应商不足3家的。</w:t>
      </w:r>
    </w:p>
    <w:p w14:paraId="4FA2F58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27.3.4在苏采云系统规定时间内成功解密电子响应文件的供应商不足3家的。</w:t>
      </w:r>
      <w:bookmarkStart w:id="173" w:name="_Toc16938551"/>
      <w:bookmarkStart w:id="174" w:name="_Toc120614219"/>
      <w:bookmarkStart w:id="175" w:name="_Toc513029235"/>
      <w:bookmarkStart w:id="176" w:name="_Toc20823307"/>
    </w:p>
    <w:p w14:paraId="0DBC49CC">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27.3.5因重大变故，采购任务取消的。</w:t>
      </w:r>
    </w:p>
    <w:p w14:paraId="218AA1D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27.3.6磋商小组认定磋商文件存在歧义、重大缺陷导致评审工作无法进行。</w:t>
      </w:r>
    </w:p>
    <w:p w14:paraId="19467C6C">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27.3.7因系统故障原因造成磋商无法继续进行的。</w:t>
      </w:r>
    </w:p>
    <w:p w14:paraId="681AE9AB">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27.4响应文件提交截止时间结束后参加磋商的供应商不足三家的处理：</w:t>
      </w:r>
    </w:p>
    <w:p w14:paraId="697C8CAB">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27.4.1如出现响应文件提交截止时间结束后参加磋商的供应商或者在评审期间对磋商文件做出实质响应的供应商不足三家情况，按政府采购相关规定执行。</w:t>
      </w:r>
    </w:p>
    <w:p w14:paraId="655FC271">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w:t>
      </w:r>
      <w:bookmarkEnd w:id="173"/>
      <w:bookmarkEnd w:id="174"/>
      <w:bookmarkEnd w:id="175"/>
      <w:bookmarkEnd w:id="176"/>
      <w:r>
        <w:rPr>
          <w:rFonts w:hint="eastAsia" w:ascii="仿宋" w:hAnsi="仿宋" w:eastAsia="仿宋" w:cs="仿宋"/>
          <w:b/>
          <w:bCs/>
          <w:sz w:val="32"/>
          <w:szCs w:val="32"/>
        </w:rPr>
        <w:t>成交</w:t>
      </w:r>
    </w:p>
    <w:p w14:paraId="3EE3A55E">
      <w:pPr>
        <w:keepNext/>
        <w:keepLines/>
        <w:ind w:firstLine="422" w:firstLineChars="150"/>
        <w:outlineLvl w:val="3"/>
        <w:rPr>
          <w:rFonts w:ascii="仿宋" w:hAnsi="仿宋" w:eastAsia="仿宋" w:cs="仿宋"/>
          <w:b/>
          <w:bCs/>
          <w:sz w:val="28"/>
          <w:szCs w:val="28"/>
        </w:rPr>
      </w:pPr>
      <w:bookmarkStart w:id="177" w:name="_Toc513029238"/>
      <w:bookmarkStart w:id="178" w:name="_Toc20823310"/>
      <w:bookmarkStart w:id="179" w:name="_Toc16938554"/>
      <w:r>
        <w:rPr>
          <w:rFonts w:hint="eastAsia" w:ascii="仿宋" w:hAnsi="仿宋" w:eastAsia="仿宋" w:cs="仿宋"/>
          <w:b/>
          <w:bCs/>
          <w:sz w:val="28"/>
          <w:szCs w:val="28"/>
        </w:rPr>
        <w:t>28、</w:t>
      </w:r>
      <w:bookmarkEnd w:id="177"/>
      <w:r>
        <w:rPr>
          <w:rFonts w:hint="eastAsia" w:ascii="仿宋" w:hAnsi="仿宋" w:eastAsia="仿宋" w:cs="仿宋"/>
          <w:b/>
          <w:bCs/>
          <w:sz w:val="28"/>
          <w:szCs w:val="28"/>
        </w:rPr>
        <w:t>确定</w:t>
      </w:r>
      <w:bookmarkEnd w:id="178"/>
      <w:bookmarkEnd w:id="179"/>
      <w:r>
        <w:rPr>
          <w:rFonts w:hint="eastAsia" w:ascii="仿宋" w:hAnsi="仿宋" w:eastAsia="仿宋" w:cs="仿宋"/>
          <w:b/>
          <w:bCs/>
          <w:sz w:val="28"/>
          <w:szCs w:val="28"/>
        </w:rPr>
        <w:t>成交单位</w:t>
      </w:r>
    </w:p>
    <w:p w14:paraId="7091D21B">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5ED4472">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F3D58F7">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非单一产品采购项目，磋商文件中将载明其中的核心产品。多家供应商提供的核心产品品牌型号相同的，按前款规定处理。</w:t>
      </w:r>
    </w:p>
    <w:p w14:paraId="0DE90CF5">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28.2</w:t>
      </w:r>
      <w:r>
        <w:rPr>
          <w:rFonts w:hint="eastAsia" w:ascii="仿宋" w:hAnsi="仿宋" w:eastAsia="仿宋" w:cs="仿宋"/>
          <w:bCs/>
          <w:color w:val="0000FF"/>
          <w:sz w:val="24"/>
          <w:szCs w:val="21"/>
        </w:rPr>
        <w:t>采购人在评标报告确定的成交候选人名单中按顺序确定成交供应商</w:t>
      </w:r>
      <w:r>
        <w:rPr>
          <w:rFonts w:hint="eastAsia" w:ascii="仿宋" w:hAnsi="仿宋" w:eastAsia="仿宋" w:cs="仿宋"/>
          <w:bCs/>
          <w:sz w:val="24"/>
          <w:szCs w:val="21"/>
        </w:rPr>
        <w:t>。确定成交供应商之日起2个工作日内，交易中心将在“江苏政府采购网”发布成交结果公告，公告期限为1个工作日。</w:t>
      </w:r>
    </w:p>
    <w:p w14:paraId="4C583C14">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28.3若有充分证据证明，成交供应商出现下列情况之一的，一经查实，将被取消成交资格：</w:t>
      </w:r>
    </w:p>
    <w:p w14:paraId="4334ED7B">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28.3.1提供虚假材料谋取成交的。</w:t>
      </w:r>
    </w:p>
    <w:p w14:paraId="1BA5F9F3">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28.3.2与评审专家、采购人、其他供应商或者交易中心工作人员恶意串通的。</w:t>
      </w:r>
    </w:p>
    <w:p w14:paraId="45CBCD8A">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28.3.3向评审专家、采购人或交易中心工作人员行贿或者提供其他不正当利益的。</w:t>
      </w:r>
    </w:p>
    <w:p w14:paraId="5407B1BC">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28.3.4不满足本磋商文件规定的实质性要求，但在评审过程中又未被磋商小组发现的。</w:t>
      </w:r>
    </w:p>
    <w:p w14:paraId="73FBD380">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28.3.5成交后无正当理由拒不与采购人签订政府采购合同或者未按照磋商文件确定的事项签订政府采购合同的。</w:t>
      </w:r>
    </w:p>
    <w:p w14:paraId="0FF60524">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28.3.6将政府采购合同转包的。</w:t>
      </w:r>
    </w:p>
    <w:p w14:paraId="1697CEB4">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28.4有下列情形之一的，视为供应商串通参与磋商，响应无效：</w:t>
      </w:r>
    </w:p>
    <w:p w14:paraId="632BCA53">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28.4.1不同供应商的响应文件由同一单位或者个人编制；</w:t>
      </w:r>
    </w:p>
    <w:p w14:paraId="186BC0D0">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28.4.2不同供应商委托同一单位或者个人办理磋商事宜；</w:t>
      </w:r>
    </w:p>
    <w:p w14:paraId="1EE2A242">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28.4.3不同供应商的响应文件载明的项目管理成员或者联系人员为同一人；</w:t>
      </w:r>
    </w:p>
    <w:p w14:paraId="1979F596">
      <w:pPr>
        <w:spacing w:line="440" w:lineRule="exact"/>
        <w:ind w:firstLine="480" w:firstLineChars="200"/>
        <w:jc w:val="left"/>
        <w:rPr>
          <w:rFonts w:ascii="仿宋" w:hAnsi="仿宋" w:eastAsia="仿宋" w:cs="仿宋"/>
          <w:bCs/>
          <w:sz w:val="24"/>
          <w:szCs w:val="21"/>
        </w:rPr>
      </w:pPr>
      <w:r>
        <w:rPr>
          <w:rFonts w:hint="eastAsia" w:ascii="仿宋" w:hAnsi="仿宋" w:eastAsia="仿宋" w:cs="仿宋"/>
          <w:sz w:val="24"/>
          <w:szCs w:val="24"/>
        </w:rPr>
        <w:t>28.4.4不同供应商的响应文件异常一</w:t>
      </w:r>
      <w:r>
        <w:rPr>
          <w:rFonts w:hint="eastAsia" w:ascii="仿宋" w:hAnsi="仿宋" w:eastAsia="仿宋" w:cs="仿宋"/>
          <w:bCs/>
          <w:sz w:val="24"/>
          <w:szCs w:val="21"/>
        </w:rPr>
        <w:t>致或者响应报价呈规律性差异。</w:t>
      </w:r>
    </w:p>
    <w:p w14:paraId="48559CE5">
      <w:pPr>
        <w:keepNext/>
        <w:keepLines/>
        <w:ind w:firstLine="422" w:firstLineChars="150"/>
        <w:outlineLvl w:val="3"/>
        <w:rPr>
          <w:rFonts w:ascii="仿宋" w:hAnsi="仿宋" w:eastAsia="仿宋" w:cs="仿宋"/>
          <w:b/>
          <w:bCs/>
          <w:sz w:val="28"/>
          <w:szCs w:val="28"/>
        </w:rPr>
      </w:pPr>
      <w:bookmarkStart w:id="180" w:name="_Toc200451960"/>
      <w:r>
        <w:rPr>
          <w:rFonts w:hint="eastAsia" w:ascii="仿宋" w:hAnsi="仿宋" w:eastAsia="仿宋" w:cs="仿宋"/>
          <w:b/>
          <w:bCs/>
          <w:sz w:val="28"/>
          <w:szCs w:val="28"/>
        </w:rPr>
        <w:t>29、质疑处理</w:t>
      </w:r>
      <w:bookmarkEnd w:id="180"/>
    </w:p>
    <w:p w14:paraId="59C06DBE">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29.1 提出质疑的供应商应当是参与所质疑项目采购活动的供应商。潜在供应商依法获取其可质疑的采购文件的，可以对采购文件提出质疑。</w:t>
      </w:r>
    </w:p>
    <w:p w14:paraId="508DB61E">
      <w:pPr>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p>
    <w:p w14:paraId="3DE3251E">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29.2.1</w:t>
      </w:r>
      <w:r>
        <w:rPr>
          <w:rFonts w:hint="eastAsia" w:ascii="仿宋" w:hAnsi="仿宋" w:eastAsia="仿宋" w:cs="仿宋"/>
          <w:kern w:val="0"/>
          <w:sz w:val="24"/>
          <w:szCs w:val="24"/>
        </w:rPr>
        <w:t>对可以质疑的采购文件提出质疑的，为收到采购文件之日或者采购文件公告期限届满之日。</w:t>
      </w:r>
    </w:p>
    <w:p w14:paraId="52B818C4">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29.2.2</w:t>
      </w:r>
      <w:r>
        <w:rPr>
          <w:rFonts w:hint="eastAsia" w:ascii="仿宋" w:hAnsi="仿宋" w:eastAsia="仿宋" w:cs="仿宋"/>
          <w:kern w:val="0"/>
          <w:sz w:val="24"/>
          <w:szCs w:val="24"/>
        </w:rPr>
        <w:t>对采购过程提出质疑的，为各采购程序环节结束之日。</w:t>
      </w:r>
    </w:p>
    <w:p w14:paraId="463DB73C">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29.2.3</w:t>
      </w:r>
      <w:r>
        <w:rPr>
          <w:rFonts w:hint="eastAsia" w:ascii="仿宋" w:hAnsi="仿宋" w:eastAsia="仿宋" w:cs="仿宋"/>
          <w:kern w:val="0"/>
          <w:sz w:val="24"/>
          <w:szCs w:val="24"/>
        </w:rPr>
        <w:t>对成交结果提出质疑的，为成交结果公告期限届满之日。</w:t>
      </w:r>
    </w:p>
    <w:p w14:paraId="4CB75AF2">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kern w:val="0"/>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44F1366A">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29.3质疑函必须按照本磋商文件中《质疑函范本》（附件12）要求的格式和内容进行填写。供应商如组成联合体参加磋商，则《质疑函范本》中要求签字、盖章、加盖公章之处，联合体各方均须按要求签字、盖章、加盖公章。</w:t>
      </w:r>
    </w:p>
    <w:p w14:paraId="6F6E3BD1">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29.4 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p>
    <w:p w14:paraId="35A559EC">
      <w:pPr>
        <w:snapToGrid w:val="0"/>
        <w:spacing w:line="480" w:lineRule="exact"/>
        <w:ind w:firstLine="482" w:firstLineChars="200"/>
        <w:rPr>
          <w:rFonts w:ascii="仿宋" w:hAnsi="仿宋" w:eastAsia="仿宋" w:cs="仿宋"/>
          <w:sz w:val="24"/>
          <w:szCs w:val="24"/>
        </w:rPr>
      </w:pPr>
      <w:r>
        <w:rPr>
          <w:rFonts w:hint="eastAsia" w:ascii="仿宋" w:hAnsi="仿宋" w:eastAsia="仿宋" w:cs="仿宋"/>
          <w:b/>
          <w:bCs/>
          <w:sz w:val="24"/>
          <w:szCs w:val="24"/>
        </w:rPr>
        <w:t>采购人及交易中心只接收以纸质原件形式送达的质疑</w:t>
      </w:r>
      <w:r>
        <w:rPr>
          <w:rFonts w:hint="eastAsia" w:ascii="仿宋" w:hAnsi="仿宋" w:eastAsia="仿宋" w:cs="仿宋"/>
          <w:sz w:val="24"/>
          <w:szCs w:val="24"/>
        </w:rPr>
        <w:t>,建议供应商尽量通过邮寄方式提交质疑（</w:t>
      </w:r>
      <w:r>
        <w:rPr>
          <w:rFonts w:hint="eastAsia" w:ascii="仿宋" w:hAnsi="仿宋" w:eastAsia="仿宋" w:cs="仿宋"/>
          <w:b/>
          <w:bCs/>
          <w:color w:val="FF0000"/>
          <w:sz w:val="24"/>
          <w:szCs w:val="24"/>
        </w:rPr>
        <w:t>采购人和交易中心不接受无快递运单号的快递</w:t>
      </w:r>
      <w:r>
        <w:rPr>
          <w:rFonts w:hint="eastAsia" w:ascii="仿宋" w:hAnsi="仿宋" w:eastAsia="仿宋" w:cs="仿宋"/>
          <w:sz w:val="24"/>
          <w:szCs w:val="24"/>
        </w:rPr>
        <w:t>）。</w:t>
      </w:r>
    </w:p>
    <w:p w14:paraId="7BE994CB">
      <w:pPr>
        <w:snapToGrid w:val="0"/>
        <w:spacing w:line="480" w:lineRule="exact"/>
        <w:ind w:firstLine="480" w:firstLineChars="200"/>
        <w:rPr>
          <w:rFonts w:ascii="仿宋" w:hAnsi="仿宋" w:eastAsia="仿宋" w:cs="仿宋"/>
        </w:rPr>
      </w:pPr>
      <w:r>
        <w:rPr>
          <w:rFonts w:hint="eastAsia" w:ascii="仿宋" w:hAnsi="仿宋" w:eastAsia="仿宋" w:cs="仿宋"/>
          <w:sz w:val="24"/>
          <w:szCs w:val="24"/>
        </w:rPr>
        <w:t>采购人质疑接收人及联系方式，见本磋商文件第一章。</w:t>
      </w:r>
    </w:p>
    <w:p w14:paraId="61C6C49F">
      <w:pPr>
        <w:snapToGrid w:val="0"/>
        <w:spacing w:line="480" w:lineRule="exact"/>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交易中心质疑受理部门及联系方式，见本磋商文件第一章。</w:t>
      </w:r>
    </w:p>
    <w:p w14:paraId="589DF767">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 以下情形的质疑不予受理</w:t>
      </w:r>
    </w:p>
    <w:p w14:paraId="03ACDEBF">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29.5.1 内容不符合《政府采购质疑和投诉办法》第十二条规定的质疑。</w:t>
      </w:r>
    </w:p>
    <w:p w14:paraId="465C1FCB">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29.5.2 超出政府采购法定期限的质疑。</w:t>
      </w:r>
    </w:p>
    <w:p w14:paraId="14CA7946">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29.5.3 以传真、电子邮件等方式递交的非原件形式的质疑。</w:t>
      </w:r>
    </w:p>
    <w:p w14:paraId="4EE0790D">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29.5.4 未参加磋商活动的供应商或在磋商活动中自身权益未受到损害的供应商所提出的质疑。</w:t>
      </w:r>
    </w:p>
    <w:p w14:paraId="22AF1362">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29.5.5供应商组成联合体参加磋商，联合体中任何一方或多方未按要求签字、盖章、加盖公章的质疑。</w:t>
      </w:r>
    </w:p>
    <w:p w14:paraId="17001E15">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29.6供应商提出书面质疑必须有理、有据，不得捏造事实、提供虚假材料进行恶意质疑。否则，一经查实，交易中心及采购人有权依据政府采购的有关规定，报请政府采购监管部门对该供应商进行相应的行政处罚和记录该供应商的失信信息。</w:t>
      </w:r>
    </w:p>
    <w:p w14:paraId="7B5D0EF7">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30、成交通知书</w:t>
      </w:r>
    </w:p>
    <w:p w14:paraId="2364339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925CD43">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0ECCBAE5">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181" w:name="_Toc120614220"/>
      <w:bookmarkStart w:id="182" w:name="_Toc20823308"/>
      <w:bookmarkStart w:id="183" w:name="_Toc513029236"/>
      <w:bookmarkStart w:id="184" w:name="_Toc16938552"/>
      <w:r>
        <w:rPr>
          <w:rFonts w:hint="eastAsia" w:ascii="仿宋" w:hAnsi="仿宋" w:eastAsia="仿宋" w:cs="仿宋"/>
          <w:b/>
          <w:bCs/>
          <w:sz w:val="32"/>
          <w:szCs w:val="32"/>
        </w:rPr>
        <w:t>七、授予合同</w:t>
      </w:r>
      <w:bookmarkEnd w:id="181"/>
    </w:p>
    <w:bookmarkEnd w:id="182"/>
    <w:bookmarkEnd w:id="183"/>
    <w:bookmarkEnd w:id="184"/>
    <w:p w14:paraId="56EE201B">
      <w:pPr>
        <w:keepNext/>
        <w:keepLines/>
        <w:ind w:firstLine="562" w:firstLineChars="200"/>
        <w:outlineLvl w:val="3"/>
        <w:rPr>
          <w:rFonts w:ascii="仿宋" w:hAnsi="仿宋" w:eastAsia="仿宋" w:cs="仿宋"/>
          <w:b/>
          <w:bCs/>
          <w:sz w:val="28"/>
          <w:szCs w:val="28"/>
        </w:rPr>
      </w:pPr>
      <w:bookmarkStart w:id="185" w:name="_Toc513029237"/>
      <w:bookmarkStart w:id="186" w:name="_Toc20823309"/>
      <w:bookmarkStart w:id="187" w:name="_Toc16938553"/>
      <w:r>
        <w:rPr>
          <w:rFonts w:hint="eastAsia" w:ascii="仿宋" w:hAnsi="仿宋" w:eastAsia="仿宋" w:cs="仿宋"/>
          <w:b/>
          <w:bCs/>
          <w:sz w:val="28"/>
          <w:szCs w:val="28"/>
        </w:rPr>
        <w:t>31. 签订合同</w:t>
      </w:r>
    </w:p>
    <w:p w14:paraId="4C9F66E4">
      <w:pPr>
        <w:snapToGrid w:val="0"/>
        <w:spacing w:line="480" w:lineRule="exact"/>
        <w:ind w:firstLine="600" w:firstLineChars="250"/>
        <w:rPr>
          <w:rFonts w:ascii="仿宋" w:hAnsi="仿宋" w:eastAsia="仿宋" w:cs="仿宋"/>
          <w:b/>
          <w:bCs/>
          <w:sz w:val="24"/>
          <w:szCs w:val="24"/>
        </w:rPr>
      </w:pPr>
      <w:r>
        <w:rPr>
          <w:rFonts w:hint="eastAsia" w:ascii="仿宋" w:hAnsi="仿宋" w:eastAsia="仿宋" w:cs="仿宋"/>
          <w:bCs/>
          <w:sz w:val="24"/>
          <w:szCs w:val="24"/>
        </w:rPr>
        <w:t>31</w:t>
      </w:r>
      <w:r>
        <w:rPr>
          <w:rFonts w:hint="eastAsia" w:ascii="仿宋" w:hAnsi="仿宋" w:eastAsia="仿宋" w:cs="仿宋"/>
          <w:sz w:val="24"/>
          <w:szCs w:val="24"/>
        </w:rPr>
        <w:t>.l成交供应商应当在成交通知书发出之日起三十日内，按照磋商文件确定的事项与采购人签订政府采购合同。</w:t>
      </w:r>
      <w:r>
        <w:rPr>
          <w:rFonts w:hint="eastAsia" w:ascii="仿宋" w:hAnsi="仿宋" w:eastAsia="仿宋" w:cs="仿宋"/>
          <w:b/>
          <w:bCs/>
          <w:sz w:val="24"/>
          <w:szCs w:val="24"/>
          <w:lang w:val="zh-CN"/>
        </w:rPr>
        <w:t>成交供应商应在成交结果公告之日起五个工作日内向</w:t>
      </w:r>
      <w:r>
        <w:rPr>
          <w:rFonts w:hint="eastAsia" w:ascii="仿宋" w:hAnsi="仿宋" w:eastAsia="仿宋" w:cs="仿宋"/>
          <w:b/>
          <w:bCs/>
          <w:sz w:val="24"/>
          <w:szCs w:val="24"/>
        </w:rPr>
        <w:t>交易中心和采购人各提供一份纸质版响应文件</w:t>
      </w:r>
      <w:r>
        <w:rPr>
          <w:rFonts w:hint="eastAsia" w:ascii="仿宋" w:hAnsi="仿宋" w:eastAsia="仿宋" w:cs="仿宋"/>
          <w:b/>
          <w:bCs/>
          <w:sz w:val="24"/>
          <w:szCs w:val="24"/>
          <w:lang w:val="zh-CN"/>
        </w:rPr>
        <w:t>（须与上传电子档内容一致）</w:t>
      </w:r>
      <w:r>
        <w:rPr>
          <w:rFonts w:hint="eastAsia" w:ascii="仿宋" w:hAnsi="仿宋" w:eastAsia="仿宋" w:cs="仿宋"/>
          <w:b/>
          <w:bCs/>
          <w:sz w:val="24"/>
          <w:szCs w:val="24"/>
        </w:rPr>
        <w:t>，否则不予签订合同。</w:t>
      </w:r>
    </w:p>
    <w:p w14:paraId="5704375D">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31.2磋商文件、成交供应商的响应文件及磋商过程中有关澄清、承诺文件均应作为合同附件。</w:t>
      </w:r>
    </w:p>
    <w:p w14:paraId="102CA51E">
      <w:pPr>
        <w:snapToGrid w:val="0"/>
        <w:spacing w:line="500" w:lineRule="exact"/>
        <w:ind w:firstLine="600" w:firstLineChars="250"/>
        <w:rPr>
          <w:rFonts w:ascii="仿宋" w:hAnsi="仿宋" w:eastAsia="仿宋" w:cs="仿宋"/>
          <w:sz w:val="24"/>
          <w:szCs w:val="24"/>
        </w:rPr>
      </w:pPr>
      <w:r>
        <w:rPr>
          <w:rFonts w:hint="eastAsia" w:ascii="仿宋" w:hAnsi="仿宋" w:eastAsia="仿宋" w:cs="仿宋"/>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1B0D9A03">
      <w:pPr>
        <w:keepNext/>
        <w:keepLines/>
        <w:spacing w:line="500" w:lineRule="exact"/>
        <w:ind w:firstLine="562" w:firstLineChars="200"/>
        <w:outlineLvl w:val="3"/>
        <w:rPr>
          <w:rFonts w:ascii="仿宋" w:hAnsi="仿宋" w:eastAsia="仿宋" w:cs="仿宋"/>
          <w:b/>
          <w:bCs/>
          <w:sz w:val="28"/>
          <w:szCs w:val="28"/>
        </w:rPr>
      </w:pPr>
      <w:r>
        <w:rPr>
          <w:rFonts w:hint="eastAsia" w:ascii="仿宋" w:hAnsi="仿宋" w:eastAsia="仿宋" w:cs="仿宋"/>
          <w:b/>
          <w:bCs/>
          <w:sz w:val="28"/>
          <w:szCs w:val="28"/>
        </w:rPr>
        <w:t>32、货物和服务的追加、减少和添购。</w:t>
      </w:r>
    </w:p>
    <w:bookmarkEnd w:id="185"/>
    <w:bookmarkEnd w:id="186"/>
    <w:bookmarkEnd w:id="187"/>
    <w:p w14:paraId="12C2DD44">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p>
    <w:p w14:paraId="6297D10B">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32.2采购结束后，采购人若由于各种客观原因，必须对采购项目所牵涉的货物和服务进行适当的减少时，在双方协商一致的前提下，可以按照采购时的价格水平做相应的调减，并据此签订补充合同。</w:t>
      </w:r>
    </w:p>
    <w:p w14:paraId="0CC17D20">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33、政府采购履约资金扶持政策</w:t>
      </w:r>
    </w:p>
    <w:p w14:paraId="31D440E8">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33.1根据《关于深入开展南通市政府采购线上合同信用融资工作的通知》（通财购</w:t>
      </w:r>
      <w:r>
        <w:rPr>
          <w:rFonts w:hint="eastAsia" w:ascii="仿宋" w:hAnsi="仿宋" w:eastAsia="仿宋" w:cs="仿宋"/>
          <w:color w:val="FF0000"/>
          <w:sz w:val="24"/>
          <w:szCs w:val="24"/>
        </w:rPr>
        <w:t>〔2022〕68</w:t>
      </w:r>
      <w:r>
        <w:rPr>
          <w:rFonts w:hint="eastAsia" w:ascii="仿宋" w:hAnsi="仿宋" w:eastAsia="仿宋" w:cs="仿宋"/>
          <w:sz w:val="24"/>
          <w:szCs w:val="24"/>
        </w:rPr>
        <w:t>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7F75576D">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0FAE6CCA">
      <w:pPr>
        <w:spacing w:line="480" w:lineRule="exact"/>
        <w:ind w:firstLine="480" w:firstLineChars="200"/>
        <w:rPr>
          <w:rFonts w:ascii="仿宋" w:hAnsi="仿宋" w:eastAsia="仿宋" w:cs="仿宋"/>
          <w:sz w:val="24"/>
          <w:szCs w:val="24"/>
          <w:highlight w:val="yellow"/>
        </w:rPr>
      </w:pPr>
    </w:p>
    <w:p w14:paraId="6B94E74B">
      <w:pPr>
        <w:spacing w:line="480" w:lineRule="exact"/>
        <w:ind w:firstLine="480" w:firstLineChars="200"/>
        <w:rPr>
          <w:rFonts w:ascii="仿宋" w:hAnsi="仿宋" w:eastAsia="仿宋" w:cs="仿宋"/>
          <w:sz w:val="24"/>
          <w:szCs w:val="24"/>
          <w:highlight w:val="yellow"/>
        </w:rPr>
      </w:pPr>
    </w:p>
    <w:p w14:paraId="7378755C">
      <w:pPr>
        <w:spacing w:line="480" w:lineRule="exact"/>
        <w:ind w:firstLine="480" w:firstLineChars="200"/>
        <w:rPr>
          <w:rFonts w:ascii="仿宋" w:hAnsi="仿宋" w:eastAsia="仿宋" w:cs="仿宋"/>
          <w:sz w:val="24"/>
          <w:szCs w:val="24"/>
        </w:rPr>
      </w:pPr>
    </w:p>
    <w:p w14:paraId="4B4FDD0D">
      <w:pPr>
        <w:keepNext/>
        <w:ind w:firstLine="2640" w:firstLineChars="600"/>
        <w:outlineLvl w:val="0"/>
        <w:rPr>
          <w:rFonts w:ascii="仿宋" w:hAnsi="仿宋" w:eastAsia="仿宋" w:cs="仿宋"/>
          <w:bCs/>
          <w:sz w:val="44"/>
          <w:szCs w:val="28"/>
        </w:rPr>
      </w:pPr>
      <w:r>
        <w:rPr>
          <w:rFonts w:hint="eastAsia" w:ascii="仿宋" w:hAnsi="仿宋" w:eastAsia="仿宋" w:cs="仿宋"/>
          <w:bCs/>
          <w:sz w:val="44"/>
          <w:szCs w:val="28"/>
        </w:rPr>
        <w:br w:type="page"/>
      </w:r>
      <w:bookmarkStart w:id="188" w:name="_Toc20527"/>
      <w:bookmarkStart w:id="189" w:name="_Toc9490"/>
      <w:bookmarkStart w:id="190" w:name="_Toc23575"/>
      <w:r>
        <w:rPr>
          <w:rFonts w:hint="eastAsia" w:ascii="仿宋" w:hAnsi="仿宋" w:eastAsia="仿宋" w:cs="仿宋"/>
          <w:b/>
          <w:sz w:val="44"/>
          <w:szCs w:val="28"/>
        </w:rPr>
        <w:t>第三章  合同</w:t>
      </w:r>
      <w:bookmarkEnd w:id="60"/>
      <w:bookmarkEnd w:id="61"/>
      <w:bookmarkEnd w:id="62"/>
      <w:bookmarkEnd w:id="63"/>
      <w:bookmarkEnd w:id="64"/>
      <w:r>
        <w:rPr>
          <w:rFonts w:hint="eastAsia" w:ascii="仿宋" w:hAnsi="仿宋" w:eastAsia="仿宋" w:cs="仿宋"/>
          <w:b/>
          <w:sz w:val="44"/>
          <w:szCs w:val="28"/>
        </w:rPr>
        <w:t>文本</w:t>
      </w:r>
      <w:bookmarkEnd w:id="188"/>
      <w:bookmarkEnd w:id="189"/>
      <w:bookmarkEnd w:id="190"/>
    </w:p>
    <w:p w14:paraId="2ABE27C0">
      <w:pPr>
        <w:spacing w:line="500" w:lineRule="exact"/>
        <w:ind w:firstLine="480" w:firstLineChars="200"/>
        <w:rPr>
          <w:rFonts w:ascii="仿宋" w:hAnsi="仿宋" w:eastAsia="仿宋" w:cs="仿宋"/>
          <w:b/>
          <w:sz w:val="24"/>
          <w:szCs w:val="21"/>
          <w:highlight w:val="cyan"/>
        </w:rPr>
      </w:pPr>
      <w:bookmarkStart w:id="191" w:name="_Toc20823315"/>
      <w:bookmarkStart w:id="192" w:name="_Toc513029243"/>
      <w:bookmarkStart w:id="193" w:name="_Toc16938559"/>
      <w:r>
        <w:rPr>
          <w:rFonts w:hint="eastAsia" w:ascii="仿宋" w:hAnsi="仿宋" w:eastAsia="仿宋" w:cs="仿宋"/>
          <w:bCs/>
          <w:sz w:val="24"/>
          <w:szCs w:val="21"/>
        </w:rPr>
        <w:t>以下为成交后签定本项目合同的通用条款，成交供应商不得提出实质性的修改。</w:t>
      </w:r>
    </w:p>
    <w:p w14:paraId="604807BA">
      <w:pPr>
        <w:spacing w:line="500" w:lineRule="exact"/>
        <w:ind w:firstLine="480" w:firstLineChars="200"/>
        <w:rPr>
          <w:rFonts w:ascii="仿宋" w:hAnsi="仿宋" w:eastAsia="仿宋" w:cs="仿宋"/>
          <w:bCs/>
          <w:sz w:val="24"/>
          <w:szCs w:val="21"/>
        </w:rPr>
      </w:pPr>
    </w:p>
    <w:p w14:paraId="1606B43B">
      <w:pPr>
        <w:snapToGrid w:val="0"/>
        <w:spacing w:before="145" w:beforeLines="50" w:after="145" w:afterLines="50" w:line="500" w:lineRule="exact"/>
        <w:jc w:val="center"/>
        <w:outlineLvl w:val="0"/>
        <w:rPr>
          <w:rFonts w:ascii="仿宋" w:hAnsi="仿宋" w:eastAsia="仿宋" w:cs="仿宋"/>
          <w:b/>
          <w:bCs/>
          <w:sz w:val="32"/>
          <w:szCs w:val="32"/>
        </w:rPr>
      </w:pPr>
      <w:bookmarkStart w:id="194" w:name="_Toc23391"/>
      <w:bookmarkStart w:id="195" w:name="_Toc6917"/>
      <w:bookmarkStart w:id="196" w:name="_Toc22069"/>
      <w:r>
        <w:rPr>
          <w:rFonts w:hint="eastAsia" w:ascii="仿宋" w:hAnsi="仿宋" w:eastAsia="仿宋" w:cs="仿宋"/>
          <w:b/>
          <w:bCs/>
          <w:sz w:val="32"/>
          <w:szCs w:val="32"/>
        </w:rPr>
        <w:t>江苏省政府采购合同（合同编号）</w:t>
      </w:r>
      <w:bookmarkEnd w:id="194"/>
      <w:bookmarkEnd w:id="195"/>
      <w:bookmarkEnd w:id="196"/>
    </w:p>
    <w:p w14:paraId="1955B9D0">
      <w:pPr>
        <w:snapToGrid w:val="0"/>
        <w:spacing w:before="120" w:after="120" w:line="500" w:lineRule="exact"/>
        <w:rPr>
          <w:rFonts w:ascii="仿宋" w:hAnsi="仿宋" w:eastAsia="仿宋" w:cs="仿宋"/>
          <w:sz w:val="24"/>
          <w:szCs w:val="24"/>
          <w:highlight w:val="none"/>
        </w:rPr>
      </w:pP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u w:val="single"/>
        </w:rPr>
        <w:t xml:space="preserve">如东县“苏服办”APP旗舰店改造项目   </w:t>
      </w:r>
      <w:r>
        <w:rPr>
          <w:rFonts w:hint="eastAsia" w:ascii="仿宋" w:hAnsi="仿宋" w:eastAsia="仿宋" w:cs="仿宋"/>
          <w:sz w:val="24"/>
          <w:szCs w:val="24"/>
          <w:highlight w:val="none"/>
        </w:rPr>
        <w:t xml:space="preserve">                             </w:t>
      </w:r>
    </w:p>
    <w:p w14:paraId="654C7E0E">
      <w:pPr>
        <w:snapToGrid w:val="0"/>
        <w:spacing w:before="120" w:after="120" w:line="500" w:lineRule="exact"/>
        <w:rPr>
          <w:rFonts w:ascii="仿宋" w:hAnsi="仿宋" w:eastAsia="仿宋" w:cs="仿宋"/>
          <w:sz w:val="24"/>
          <w:szCs w:val="24"/>
        </w:rPr>
      </w:pPr>
      <w:r>
        <w:rPr>
          <w:rFonts w:hint="eastAsia" w:ascii="仿宋" w:hAnsi="仿宋" w:eastAsia="仿宋" w:cs="仿宋"/>
          <w:sz w:val="24"/>
          <w:szCs w:val="24"/>
        </w:rPr>
        <w:t>项目编号：</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7ACB4C92">
      <w:pPr>
        <w:snapToGrid w:val="0"/>
        <w:spacing w:before="120" w:after="120" w:line="500" w:lineRule="exact"/>
        <w:rPr>
          <w:rFonts w:ascii="仿宋" w:hAnsi="仿宋" w:eastAsia="仿宋" w:cs="仿宋"/>
          <w:sz w:val="24"/>
          <w:szCs w:val="24"/>
        </w:rPr>
      </w:pPr>
      <w:r>
        <w:rPr>
          <w:rFonts w:hint="eastAsia" w:ascii="仿宋" w:hAnsi="仿宋" w:eastAsia="仿宋" w:cs="仿宋"/>
          <w:sz w:val="24"/>
          <w:szCs w:val="24"/>
        </w:rPr>
        <w:t>甲方：（买方）如东县数据局</w:t>
      </w:r>
    </w:p>
    <w:p w14:paraId="794F09D7">
      <w:pPr>
        <w:snapToGrid w:val="0"/>
        <w:spacing w:before="120" w:after="120" w:line="500" w:lineRule="exact"/>
        <w:rPr>
          <w:rFonts w:ascii="仿宋" w:hAnsi="仿宋" w:eastAsia="仿宋" w:cs="仿宋"/>
          <w:sz w:val="24"/>
          <w:szCs w:val="24"/>
        </w:rPr>
      </w:pPr>
      <w:r>
        <w:rPr>
          <w:rFonts w:hint="eastAsia" w:ascii="仿宋" w:hAnsi="仿宋" w:eastAsia="仿宋" w:cs="仿宋"/>
          <w:sz w:val="24"/>
          <w:szCs w:val="24"/>
        </w:rPr>
        <w:t>乙方：（卖方）_</w:t>
      </w:r>
      <w:r>
        <w:rPr>
          <w:rFonts w:hint="eastAsia" w:ascii="仿宋" w:hAnsi="仿宋" w:eastAsia="仿宋" w:cs="仿宋"/>
          <w:sz w:val="24"/>
          <w:szCs w:val="24"/>
          <w:u w:val="single"/>
        </w:rPr>
        <w:t>****</w:t>
      </w:r>
    </w:p>
    <w:p w14:paraId="3A9EFCA7">
      <w:pPr>
        <w:snapToGrid w:val="0"/>
        <w:spacing w:before="120" w:after="120"/>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p>
    <w:p w14:paraId="2B8EBA72">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一、合同内容</w:t>
      </w:r>
    </w:p>
    <w:p w14:paraId="2A0EED36">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1.1 标的名称：</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4A266B84">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1.2 标的质量：</w:t>
      </w:r>
      <w:r>
        <w:rPr>
          <w:rFonts w:hint="eastAsia" w:ascii="仿宋" w:hAnsi="仿宋" w:eastAsia="仿宋" w:cs="仿宋"/>
          <w:sz w:val="24"/>
          <w:szCs w:val="24"/>
          <w:u w:val="single"/>
        </w:rPr>
        <w:t>****</w:t>
      </w:r>
    </w:p>
    <w:p w14:paraId="25208922">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 标的数量（规模）：</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1DD40133">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1.4 履行时间（期限）：</w:t>
      </w:r>
      <w:r>
        <w:rPr>
          <w:rFonts w:hint="eastAsia" w:ascii="仿宋" w:hAnsi="仿宋" w:eastAsia="仿宋" w:cs="仿宋"/>
          <w:sz w:val="24"/>
          <w:szCs w:val="24"/>
          <w:u w:val="single"/>
        </w:rPr>
        <w:t>****</w:t>
      </w:r>
    </w:p>
    <w:p w14:paraId="0BB115CE">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1.5 履行地点：如东县数据局 </w:t>
      </w:r>
    </w:p>
    <w:p w14:paraId="69A50A28">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1.6 履行方式：</w:t>
      </w:r>
      <w:r>
        <w:rPr>
          <w:rFonts w:hint="eastAsia" w:ascii="仿宋" w:hAnsi="仿宋" w:eastAsia="仿宋" w:cs="仿宋"/>
          <w:sz w:val="24"/>
          <w:szCs w:val="24"/>
          <w:u w:val="single"/>
        </w:rPr>
        <w:t>****</w:t>
      </w:r>
    </w:p>
    <w:p w14:paraId="1C9B7425">
      <w:pPr>
        <w:snapToGrid w:val="0"/>
        <w:spacing w:before="120" w:after="120" w:line="500" w:lineRule="exact"/>
        <w:ind w:firstLine="480" w:firstLineChars="200"/>
        <w:rPr>
          <w:rFonts w:ascii="仿宋" w:hAnsi="仿宋" w:eastAsia="仿宋" w:cs="仿宋"/>
          <w:sz w:val="24"/>
          <w:szCs w:val="24"/>
          <w:highlight w:val="cyan"/>
        </w:rPr>
      </w:pPr>
      <w:r>
        <w:rPr>
          <w:rFonts w:hint="eastAsia" w:ascii="仿宋" w:hAnsi="仿宋" w:eastAsia="仿宋" w:cs="仿宋"/>
          <w:sz w:val="24"/>
          <w:szCs w:val="24"/>
        </w:rPr>
        <w:t>1.7 包装方式：</w:t>
      </w:r>
      <w:r>
        <w:rPr>
          <w:rFonts w:hint="eastAsia" w:ascii="仿宋" w:hAnsi="仿宋" w:eastAsia="仿宋" w:cs="仿宋"/>
          <w:sz w:val="24"/>
          <w:szCs w:val="24"/>
          <w:u w:val="single"/>
        </w:rPr>
        <w:t>****</w:t>
      </w:r>
    </w:p>
    <w:p w14:paraId="3FC91795">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二、合同金额</w:t>
      </w:r>
    </w:p>
    <w:p w14:paraId="796489DD">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2.1 本合同金额为（大写）：</w:t>
      </w:r>
      <w:r>
        <w:rPr>
          <w:rFonts w:hint="eastAsia" w:ascii="仿宋" w:hAnsi="仿宋" w:eastAsia="仿宋" w:cs="仿宋"/>
          <w:sz w:val="24"/>
          <w:szCs w:val="24"/>
          <w:u w:val="single"/>
        </w:rPr>
        <w:t>****</w:t>
      </w:r>
      <w:r>
        <w:rPr>
          <w:rFonts w:hint="eastAsia" w:ascii="仿宋" w:hAnsi="仿宋" w:eastAsia="仿宋" w:cs="仿宋"/>
          <w:sz w:val="24"/>
          <w:szCs w:val="24"/>
        </w:rPr>
        <w:t>元（</w:t>
      </w:r>
      <w:r>
        <w:rPr>
          <w:rFonts w:hint="eastAsia" w:ascii="仿宋" w:hAnsi="仿宋" w:eastAsia="仿宋" w:cs="仿宋"/>
          <w:sz w:val="24"/>
          <w:szCs w:val="24"/>
          <w:u w:val="single"/>
        </w:rPr>
        <w:t>****</w:t>
      </w:r>
      <w:r>
        <w:rPr>
          <w:rFonts w:hint="eastAsia" w:ascii="仿宋" w:hAnsi="仿宋" w:eastAsia="仿宋" w:cs="仿宋"/>
          <w:sz w:val="24"/>
          <w:szCs w:val="24"/>
        </w:rPr>
        <w:t>元）人民币。</w:t>
      </w:r>
    </w:p>
    <w:p w14:paraId="0B94BB4C">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三、技术资料</w:t>
      </w:r>
    </w:p>
    <w:p w14:paraId="109591F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3.1乙方应按磋商文件规定的时间向甲方提供与合同标的有关的技术资料。</w:t>
      </w:r>
    </w:p>
    <w:p w14:paraId="678B48D1">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87668FB">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四、知识产权</w:t>
      </w:r>
    </w:p>
    <w:p w14:paraId="0A001852">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4.1乙方应保证甲方在使用、接受本合同标的或其任何一部分时不受第三方提出侵犯其专利权、版权、商标权和工业设计权等知识产权的起诉。一旦出现侵权，由乙方负全部责任。</w:t>
      </w:r>
    </w:p>
    <w:p w14:paraId="0BE2EEB5">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五、产权担保</w:t>
      </w:r>
    </w:p>
    <w:p w14:paraId="68A8D316">
      <w:pPr>
        <w:snapToGrid w:val="0"/>
        <w:spacing w:before="120" w:after="120" w:line="500" w:lineRule="exact"/>
        <w:ind w:left="239" w:leftChars="114" w:firstLine="480" w:firstLineChars="200"/>
        <w:rPr>
          <w:rFonts w:ascii="仿宋" w:hAnsi="仿宋" w:eastAsia="仿宋" w:cs="仿宋"/>
          <w:sz w:val="24"/>
          <w:szCs w:val="24"/>
        </w:rPr>
      </w:pPr>
      <w:r>
        <w:rPr>
          <w:rFonts w:hint="eastAsia" w:ascii="仿宋" w:hAnsi="仿宋" w:eastAsia="仿宋" w:cs="仿宋"/>
          <w:sz w:val="24"/>
          <w:szCs w:val="24"/>
        </w:rPr>
        <w:t>5.1 乙方保证所交付的合同标的的所有权完全属于乙方且无任何抵押、查封等产权瑕疵。</w:t>
      </w:r>
    </w:p>
    <w:p w14:paraId="17325C4D">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六、履约保证金</w:t>
      </w:r>
    </w:p>
    <w:p w14:paraId="0BD0DAD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6.1 乙方交纳人民币</w:t>
      </w:r>
      <w:r>
        <w:rPr>
          <w:rFonts w:hint="eastAsia" w:ascii="仿宋" w:hAnsi="仿宋" w:eastAsia="仿宋" w:cs="仿宋"/>
          <w:sz w:val="24"/>
          <w:szCs w:val="24"/>
          <w:u w:val="single"/>
        </w:rPr>
        <w:t>****</w:t>
      </w:r>
      <w:r>
        <w:rPr>
          <w:rFonts w:hint="eastAsia" w:ascii="仿宋" w:hAnsi="仿宋" w:eastAsia="仿宋" w:cs="仿宋"/>
          <w:sz w:val="24"/>
          <w:szCs w:val="24"/>
        </w:rPr>
        <w:t>元作为本合同的履约保证金。</w:t>
      </w:r>
    </w:p>
    <w:p w14:paraId="77400E84">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6.2合同履行结束后，甲方应及时退还交纳的履约保证金。</w:t>
      </w:r>
    </w:p>
    <w:p w14:paraId="1F113DD5">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6.2.1履约保证金退还方式：</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77BCF034">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6.2.2履约保证金退还时间：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32F97BE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6.2.3履约保证金退还条件：乙方全部履约合同义务，经甲方验收合格无质量、进度等问题的，甲方在验收合格后一次性退还履约保证金，甲方若逾期退还履约保证金的，按照逾期部分的每日0.05%支付违约金。  </w:t>
      </w:r>
    </w:p>
    <w:p w14:paraId="56A837CE">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6.2.4发生以下情况的，履约保证金不予退还或部分退还：</w:t>
      </w:r>
    </w:p>
    <w:p w14:paraId="6FCD1F5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6.2.4.1 签订合同后，乙方不履行合同义务的，甲方有权全额扣除履约保证金，全额不予退还，同时甲方亦有权终止合同，乙方还须承担相应的法律赔偿责任。</w:t>
      </w:r>
    </w:p>
    <w:p w14:paraId="20531CC4">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6.2.4.2 乙方在履约过程中发生违约行为，给甲方造成损失的，甲方有权在乙方缴纳的履约保证金中予以扣款，以弥补甲方经济损失，不足的部分乙方另外补齐。</w:t>
      </w:r>
    </w:p>
    <w:p w14:paraId="7CFFFD9D">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七、合同转包或分包</w:t>
      </w:r>
    </w:p>
    <w:p w14:paraId="592F2C3D">
      <w:pPr>
        <w:snapToGrid w:val="0"/>
        <w:spacing w:before="145" w:beforeLines="50" w:after="145"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7.1乙方不得将合同标的转包给他人履行。</w:t>
      </w:r>
    </w:p>
    <w:p w14:paraId="037EFFCE">
      <w:pPr>
        <w:snapToGrid w:val="0"/>
        <w:spacing w:before="145" w:beforeLines="50" w:after="145"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7.2乙方不得将合同标的分包给他人履行。</w:t>
      </w:r>
    </w:p>
    <w:p w14:paraId="6AB0C1E6">
      <w:pPr>
        <w:snapToGrid w:val="0"/>
        <w:spacing w:before="145" w:beforeLines="50" w:after="145"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7.3乙方如有转包或未经甲方同意的分包行为，甲方有权解除合同。</w:t>
      </w:r>
    </w:p>
    <w:p w14:paraId="0A2DAD69">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八、合同款项支付</w:t>
      </w:r>
    </w:p>
    <w:p w14:paraId="58AA049B">
      <w:pPr>
        <w:snapToGrid w:val="0"/>
        <w:spacing w:before="120" w:after="120" w:line="500" w:lineRule="exact"/>
        <w:ind w:firstLine="480" w:firstLineChars="200"/>
        <w:rPr>
          <w:rFonts w:ascii="仿宋" w:hAnsi="仿宋" w:eastAsia="仿宋" w:cs="仿宋"/>
          <w:bCs/>
          <w:sz w:val="24"/>
          <w:szCs w:val="24"/>
        </w:rPr>
      </w:pPr>
      <w:r>
        <w:rPr>
          <w:rFonts w:hint="eastAsia" w:ascii="仿宋" w:hAnsi="仿宋" w:eastAsia="仿宋" w:cs="仿宋"/>
          <w:bCs/>
          <w:sz w:val="24"/>
          <w:szCs w:val="24"/>
        </w:rPr>
        <w:t>8.1合同款项的支付方式及进度安排</w:t>
      </w:r>
    </w:p>
    <w:p w14:paraId="5DE16E9E">
      <w:pPr>
        <w:spacing w:line="360" w:lineRule="auto"/>
        <w:ind w:firstLine="480" w:firstLineChars="200"/>
        <w:rPr>
          <w:rFonts w:hint="eastAsia" w:ascii="仿宋" w:hAnsi="仿宋" w:eastAsia="仿宋" w:cs="仿宋"/>
          <w:i w:val="0"/>
          <w:iCs w:val="0"/>
          <w:sz w:val="24"/>
          <w:szCs w:val="24"/>
          <w:u w:val="none"/>
        </w:rPr>
      </w:pPr>
      <w:r>
        <w:rPr>
          <w:rFonts w:hint="eastAsia" w:ascii="仿宋" w:hAnsi="仿宋" w:eastAsia="仿宋" w:cs="仿宋"/>
          <w:i w:val="0"/>
          <w:iCs w:val="0"/>
          <w:sz w:val="24"/>
          <w:szCs w:val="24"/>
          <w:u w:val="none"/>
        </w:rPr>
        <w:t>成交供应商应在合同签订之前，向采购人提交符合要求的履约保函。</w:t>
      </w:r>
    </w:p>
    <w:p w14:paraId="12C42E58">
      <w:pPr>
        <w:spacing w:line="360" w:lineRule="auto"/>
        <w:ind w:firstLine="480" w:firstLineChars="200"/>
        <w:rPr>
          <w:rFonts w:hint="eastAsia" w:ascii="仿宋" w:hAnsi="仿宋" w:eastAsia="仿宋" w:cs="仿宋"/>
          <w:i w:val="0"/>
          <w:iCs w:val="0"/>
          <w:sz w:val="24"/>
          <w:szCs w:val="24"/>
          <w:u w:val="none"/>
        </w:rPr>
      </w:pPr>
      <w:r>
        <w:rPr>
          <w:rFonts w:hint="eastAsia" w:ascii="仿宋" w:hAnsi="仿宋" w:eastAsia="仿宋" w:cs="仿宋"/>
          <w:i w:val="0"/>
          <w:iCs w:val="0"/>
          <w:sz w:val="24"/>
          <w:szCs w:val="24"/>
          <w:u w:val="none"/>
        </w:rPr>
        <w:t>本合同自双方法定代表人或授权代表签字并加盖公章之日起生效。生效后15个自然日内，成交供应商应向采购人提交预付款申请函。采购人审核无误后，支付合同金额40%的预付款。</w:t>
      </w:r>
    </w:p>
    <w:p w14:paraId="7901022D">
      <w:pPr>
        <w:spacing w:line="360" w:lineRule="auto"/>
        <w:ind w:firstLine="480" w:firstLineChars="200"/>
        <w:rPr>
          <w:rFonts w:hint="eastAsia" w:ascii="仿宋" w:hAnsi="仿宋" w:eastAsia="仿宋" w:cs="仿宋"/>
          <w:i w:val="0"/>
          <w:iCs w:val="0"/>
          <w:sz w:val="24"/>
          <w:szCs w:val="24"/>
          <w:u w:val="none"/>
        </w:rPr>
      </w:pPr>
      <w:r>
        <w:rPr>
          <w:rFonts w:hint="eastAsia" w:ascii="仿宋" w:hAnsi="仿宋" w:eastAsia="仿宋" w:cs="仿宋"/>
          <w:i w:val="0"/>
          <w:iCs w:val="0"/>
          <w:sz w:val="24"/>
          <w:szCs w:val="24"/>
          <w:u w:val="none"/>
        </w:rPr>
        <w:t>成交供应商完成系统开发工作后，应向采购人提交系统验收申请及完整的验收资料。采购人在接到申请后，组织双方技术人员依据合同约定的技术标准和功能要求进行验收。验收合格的，采购人支付至合同总金额的90%。若验收不合格，成交供应商应在采购人规定的时间内完成整改并重新提交验收。</w:t>
      </w:r>
    </w:p>
    <w:p w14:paraId="69A19775">
      <w:pPr>
        <w:spacing w:line="360" w:lineRule="auto"/>
        <w:ind w:firstLine="480" w:firstLineChars="200"/>
        <w:rPr>
          <w:rFonts w:ascii="仿宋" w:hAnsi="仿宋" w:eastAsia="仿宋" w:cs="仿宋"/>
          <w:sz w:val="24"/>
          <w:szCs w:val="24"/>
          <w:highlight w:val="cyan"/>
        </w:rPr>
      </w:pPr>
      <w:r>
        <w:rPr>
          <w:rFonts w:hint="eastAsia" w:ascii="仿宋" w:hAnsi="仿宋" w:eastAsia="仿宋" w:cs="仿宋"/>
          <w:i w:val="0"/>
          <w:iCs w:val="0"/>
          <w:sz w:val="24"/>
          <w:szCs w:val="24"/>
          <w:u w:val="none"/>
        </w:rPr>
        <w:t>系统自验收合格之日起，进入为期1年的免费运维服务期。免费运维服务期满，如成交供应商未发生质量及售后责任问题，采购人支付合同金额10%的尾款。</w:t>
      </w:r>
    </w:p>
    <w:p w14:paraId="710295F6">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九、税费</w:t>
      </w:r>
    </w:p>
    <w:p w14:paraId="0FA277A7">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9.1本合同执行中相关的一切税费均由乙方负担。</w:t>
      </w:r>
    </w:p>
    <w:p w14:paraId="091FA40D">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十、项目验收</w:t>
      </w:r>
    </w:p>
    <w:p w14:paraId="4897586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10.1 甲方依法组织履约验收工作。</w:t>
      </w:r>
    </w:p>
    <w:p w14:paraId="0637756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14713F7">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10.3 对于实际使用人和甲方分离的项目，甲方邀请实际使用人参与验收。</w:t>
      </w:r>
    </w:p>
    <w:p w14:paraId="6E9F78AE">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10.4 如有必要，甲方邀请参加本项目的其他供应商或第三方专业机构及专家参与验收，相关意见将作为验收书的参考资料。</w:t>
      </w:r>
    </w:p>
    <w:p w14:paraId="5FEA34C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762249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FF0000"/>
          <w:sz w:val="24"/>
          <w:szCs w:val="24"/>
        </w:rPr>
        <w:t>《中华人民共和国民法典》</w:t>
      </w:r>
      <w:r>
        <w:rPr>
          <w:rFonts w:hint="eastAsia" w:ascii="仿宋" w:hAnsi="仿宋" w:eastAsia="仿宋" w:cs="仿宋"/>
          <w:sz w:val="24"/>
          <w:szCs w:val="24"/>
        </w:rPr>
        <w:t>。乙方在履约过程中有政府采购法律法规规定的违法违规情形的,甲方将及时报告本级财政部门。</w:t>
      </w:r>
    </w:p>
    <w:p w14:paraId="57CF593A">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十一、违约责任</w:t>
      </w:r>
    </w:p>
    <w:p w14:paraId="0E91369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12.1甲方无正当理由拒绝接受乙方提供的合同标的的，甲方向乙方偿付拒绝接受合同价款总值</w:t>
      </w:r>
      <w:r>
        <w:rPr>
          <w:rFonts w:hint="eastAsia" w:ascii="仿宋" w:hAnsi="仿宋" w:eastAsia="仿宋" w:cs="仿宋"/>
          <w:sz w:val="24"/>
          <w:szCs w:val="24"/>
          <w:u w:val="single"/>
        </w:rPr>
        <w:t>***</w:t>
      </w:r>
      <w:r>
        <w:rPr>
          <w:rFonts w:hint="eastAsia" w:ascii="仿宋" w:hAnsi="仿宋" w:eastAsia="仿宋" w:cs="仿宋"/>
          <w:sz w:val="24"/>
          <w:szCs w:val="24"/>
        </w:rPr>
        <w:t>的违约金。</w:t>
      </w:r>
    </w:p>
    <w:p w14:paraId="6BB813C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12.2 甲方无故逾期验收和办理合同款项支付手续的,甲方应按逾期付款总额</w:t>
      </w:r>
      <w:r>
        <w:rPr>
          <w:rFonts w:hint="eastAsia" w:ascii="仿宋" w:hAnsi="仿宋" w:eastAsia="仿宋" w:cs="仿宋"/>
          <w:sz w:val="24"/>
          <w:szCs w:val="24"/>
          <w:u w:val="single"/>
        </w:rPr>
        <w:t xml:space="preserve">***    </w:t>
      </w:r>
      <w:r>
        <w:rPr>
          <w:rFonts w:hint="eastAsia" w:ascii="仿宋" w:hAnsi="仿宋" w:eastAsia="仿宋" w:cs="仿宋"/>
          <w:sz w:val="24"/>
          <w:szCs w:val="24"/>
        </w:rPr>
        <w:t>每日向乙方支付违约金。</w:t>
      </w:r>
    </w:p>
    <w:p w14:paraId="042FF1E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12.3 乙方逾期交付合同标的的，乙方应按逾期交付合同总额每日</w:t>
      </w:r>
      <w:r>
        <w:rPr>
          <w:rFonts w:hint="eastAsia" w:ascii="仿宋" w:hAnsi="仿宋" w:eastAsia="仿宋" w:cs="仿宋"/>
          <w:sz w:val="24"/>
          <w:szCs w:val="24"/>
          <w:u w:val="single"/>
        </w:rPr>
        <w:t>***</w:t>
      </w:r>
      <w:r>
        <w:rPr>
          <w:rFonts w:hint="eastAsia" w:ascii="仿宋" w:hAnsi="仿宋" w:eastAsia="仿宋" w:cs="仿宋"/>
          <w:sz w:val="24"/>
          <w:szCs w:val="24"/>
        </w:rPr>
        <w:t>向甲方支付违约金，由甲方从待付合同款项中扣除。逾期超过约定日期</w:t>
      </w:r>
      <w:r>
        <w:rPr>
          <w:rFonts w:hint="eastAsia" w:ascii="仿宋" w:hAnsi="仿宋" w:eastAsia="仿宋" w:cs="仿宋"/>
          <w:sz w:val="24"/>
          <w:szCs w:val="24"/>
          <w:u w:val="single"/>
        </w:rPr>
        <w:t>***</w:t>
      </w:r>
      <w:r>
        <w:rPr>
          <w:rFonts w:hint="eastAsia" w:ascii="仿宋" w:hAnsi="仿宋" w:eastAsia="仿宋" w:cs="仿宋"/>
          <w:sz w:val="24"/>
          <w:szCs w:val="24"/>
        </w:rPr>
        <w:t>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w:t>
      </w:r>
      <w:r>
        <w:rPr>
          <w:rFonts w:hint="eastAsia" w:ascii="仿宋" w:hAnsi="仿宋" w:eastAsia="仿宋" w:cs="仿宋"/>
          <w:sz w:val="24"/>
          <w:szCs w:val="24"/>
        </w:rPr>
        <w:t xml:space="preserve">的违约金，如造成甲方损失超过违约金的，超出部分由乙方继续承担赔偿责任。 </w:t>
      </w:r>
    </w:p>
    <w:p w14:paraId="5E103CD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12.4 乙方交付合同标的的标准不符合合同规定及磋商文件规定标准的，甲方有权拒绝接受合同标的，并可单方面解除合同。</w:t>
      </w:r>
    </w:p>
    <w:p w14:paraId="77641E48">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十二、不可抗力事件处理</w:t>
      </w:r>
    </w:p>
    <w:p w14:paraId="1313E507">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13.1 在合同有效期内，任何一方因不可抗力事件导致不能履行合同，则合同履行期可延长，其延长期与不可抗力影响期相同。</w:t>
      </w:r>
    </w:p>
    <w:p w14:paraId="73AA4296">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13.2 不可抗力事件发生后，应立即通知对方，并寄送有关权威机构出具的证明。</w:t>
      </w:r>
    </w:p>
    <w:p w14:paraId="661985D4">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13.3 不可抗力事件延续</w:t>
      </w:r>
      <w:r>
        <w:rPr>
          <w:rFonts w:hint="eastAsia" w:ascii="仿宋" w:hAnsi="仿宋" w:eastAsia="仿宋" w:cs="仿宋"/>
          <w:sz w:val="24"/>
          <w:szCs w:val="24"/>
          <w:u w:val="single"/>
        </w:rPr>
        <w:t>***</w:t>
      </w:r>
      <w:r>
        <w:rPr>
          <w:rFonts w:hint="eastAsia" w:ascii="仿宋" w:hAnsi="仿宋" w:eastAsia="仿宋" w:cs="仿宋"/>
          <w:sz w:val="24"/>
          <w:szCs w:val="24"/>
        </w:rPr>
        <w:t>天以上，双方应通过友好协商，确定是否继续履行合同。</w:t>
      </w:r>
    </w:p>
    <w:p w14:paraId="20144294">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十三、解决争议的方法</w:t>
      </w:r>
    </w:p>
    <w:p w14:paraId="1CAAFC0E">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14.1双方在签订、履行合同中所发生的一切争议，应通过友好协商解决。如协商不成，由甲方住所地人民法院管辖。</w:t>
      </w:r>
    </w:p>
    <w:p w14:paraId="2163CABE">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十四、合同生效及其它</w:t>
      </w:r>
    </w:p>
    <w:p w14:paraId="6C063989">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15.1 合同经双方法定代表人或授权委托代表人签字并加盖单位公章后生效。</w:t>
      </w:r>
    </w:p>
    <w:p w14:paraId="0B92FF66">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15.2本合同未尽事宜，遵照中华人民共和国现行法律法规有关条文执行。</w:t>
      </w:r>
    </w:p>
    <w:p w14:paraId="352BB6BB">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15.3 本合同正本一式</w:t>
      </w:r>
      <w:r>
        <w:rPr>
          <w:rFonts w:hint="eastAsia" w:ascii="仿宋" w:hAnsi="仿宋" w:eastAsia="仿宋" w:cs="仿宋"/>
          <w:sz w:val="24"/>
          <w:szCs w:val="24"/>
          <w:u w:val="single"/>
        </w:rPr>
        <w:t>***</w:t>
      </w:r>
      <w:r>
        <w:rPr>
          <w:rFonts w:hint="eastAsia" w:ascii="仿宋" w:hAnsi="仿宋" w:eastAsia="仿宋" w:cs="仿宋"/>
          <w:sz w:val="24"/>
          <w:szCs w:val="24"/>
        </w:rPr>
        <w:t>份，具有同等法律效力。</w:t>
      </w:r>
    </w:p>
    <w:p w14:paraId="199F6AAD">
      <w:pPr>
        <w:snapToGrid w:val="0"/>
        <w:spacing w:before="120" w:after="120" w:line="500" w:lineRule="exact"/>
        <w:ind w:left="480" w:hanging="480" w:hangingChars="200"/>
        <w:rPr>
          <w:rFonts w:ascii="仿宋" w:hAnsi="仿宋" w:eastAsia="仿宋" w:cs="仿宋"/>
          <w:sz w:val="24"/>
          <w:szCs w:val="24"/>
        </w:rPr>
      </w:pPr>
      <w:r>
        <w:rPr>
          <w:rFonts w:hint="eastAsia" w:ascii="仿宋" w:hAnsi="仿宋" w:eastAsia="仿宋" w:cs="仿宋"/>
          <w:sz w:val="24"/>
          <w:szCs w:val="24"/>
        </w:rPr>
        <w:t xml:space="preserve">  </w:t>
      </w:r>
    </w:p>
    <w:p w14:paraId="5D7DFA14">
      <w:pPr>
        <w:snapToGrid w:val="0"/>
        <w:spacing w:before="120" w:after="120" w:line="500" w:lineRule="exact"/>
        <w:ind w:left="480" w:hanging="480" w:hangingChars="200"/>
        <w:rPr>
          <w:rFonts w:ascii="仿宋" w:hAnsi="仿宋" w:eastAsia="仿宋" w:cs="仿宋"/>
          <w:sz w:val="24"/>
          <w:szCs w:val="24"/>
        </w:rPr>
      </w:pPr>
    </w:p>
    <w:p w14:paraId="5606B68E">
      <w:pPr>
        <w:snapToGrid w:val="0"/>
        <w:spacing w:before="120" w:after="120" w:line="0" w:lineRule="atLeast"/>
        <w:rPr>
          <w:rFonts w:ascii="仿宋" w:hAnsi="仿宋" w:eastAsia="仿宋" w:cs="仿宋"/>
          <w:sz w:val="24"/>
          <w:szCs w:val="24"/>
        </w:rPr>
      </w:pPr>
    </w:p>
    <w:p w14:paraId="7DCA4D6D">
      <w:pPr>
        <w:snapToGrid w:val="0"/>
        <w:spacing w:before="120" w:after="120" w:line="0" w:lineRule="atLeast"/>
        <w:ind w:left="479" w:leftChars="114" w:hanging="240" w:hangingChars="100"/>
        <w:rPr>
          <w:rFonts w:ascii="仿宋" w:hAnsi="仿宋" w:eastAsia="仿宋" w:cs="仿宋"/>
          <w:sz w:val="24"/>
          <w:szCs w:val="24"/>
        </w:rPr>
      </w:pPr>
      <w:r>
        <w:rPr>
          <w:rFonts w:hint="eastAsia" w:ascii="仿宋" w:hAnsi="仿宋" w:eastAsia="仿宋" w:cs="仿宋"/>
          <w:sz w:val="24"/>
          <w:szCs w:val="24"/>
        </w:rPr>
        <w:t xml:space="preserve"> 甲方：                        乙方： </w:t>
      </w:r>
    </w:p>
    <w:p w14:paraId="43C4E620">
      <w:pPr>
        <w:snapToGrid w:val="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地址：                        地址： </w:t>
      </w:r>
    </w:p>
    <w:p w14:paraId="4DABA5E9">
      <w:pPr>
        <w:snapToGrid w:val="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p>
    <w:p w14:paraId="50F96974">
      <w:pPr>
        <w:snapToGrid w:val="0"/>
        <w:spacing w:before="120" w:after="120" w:line="0" w:lineRule="atLeast"/>
        <w:ind w:firstLine="240" w:firstLineChars="100"/>
        <w:rPr>
          <w:rFonts w:ascii="仿宋" w:hAnsi="仿宋" w:eastAsia="仿宋" w:cs="仿宋"/>
          <w:szCs w:val="21"/>
        </w:rPr>
      </w:pPr>
      <w:r>
        <w:rPr>
          <w:rFonts w:hint="eastAsia" w:ascii="仿宋" w:hAnsi="仿宋" w:eastAsia="仿宋" w:cs="仿宋"/>
          <w:sz w:val="24"/>
          <w:szCs w:val="24"/>
        </w:rPr>
        <w:t xml:space="preserve">联系电话：                    联系电话：          </w:t>
      </w:r>
    </w:p>
    <w:p w14:paraId="2E87EBFE">
      <w:pPr>
        <w:spacing w:line="500" w:lineRule="exact"/>
        <w:ind w:firstLine="420" w:firstLineChars="200"/>
        <w:rPr>
          <w:rFonts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sz w:val="24"/>
          <w:szCs w:val="24"/>
          <w:u w:val="single"/>
        </w:rPr>
        <w:t>***</w:t>
      </w:r>
      <w:r>
        <w:rPr>
          <w:rFonts w:hint="eastAsia" w:ascii="仿宋" w:hAnsi="仿宋" w:eastAsia="仿宋" w:cs="仿宋"/>
          <w:sz w:val="24"/>
          <w:szCs w:val="24"/>
        </w:rPr>
        <w:t>年</w:t>
      </w:r>
      <w:r>
        <w:rPr>
          <w:rFonts w:hint="eastAsia" w:ascii="仿宋" w:hAnsi="仿宋" w:eastAsia="仿宋" w:cs="仿宋"/>
          <w:sz w:val="24"/>
          <w:szCs w:val="24"/>
          <w:u w:val="single"/>
        </w:rPr>
        <w:t>***</w:t>
      </w:r>
      <w:r>
        <w:rPr>
          <w:rFonts w:hint="eastAsia" w:ascii="仿宋" w:hAnsi="仿宋" w:eastAsia="仿宋" w:cs="仿宋"/>
          <w:sz w:val="24"/>
          <w:szCs w:val="24"/>
        </w:rPr>
        <w:t>月</w:t>
      </w:r>
      <w:r>
        <w:rPr>
          <w:rFonts w:hint="eastAsia" w:ascii="仿宋" w:hAnsi="仿宋" w:eastAsia="仿宋" w:cs="仿宋"/>
          <w:sz w:val="24"/>
          <w:szCs w:val="24"/>
          <w:u w:val="single"/>
        </w:rPr>
        <w:t>***</w:t>
      </w:r>
      <w:r>
        <w:rPr>
          <w:rFonts w:hint="eastAsia" w:ascii="仿宋" w:hAnsi="仿宋" w:eastAsia="仿宋" w:cs="仿宋"/>
          <w:sz w:val="24"/>
          <w:szCs w:val="24"/>
        </w:rPr>
        <w:t>日</w:t>
      </w:r>
    </w:p>
    <w:bookmarkEnd w:id="191"/>
    <w:bookmarkEnd w:id="192"/>
    <w:bookmarkEnd w:id="193"/>
    <w:p w14:paraId="04AFD71A">
      <w:pPr>
        <w:snapToGrid w:val="0"/>
        <w:spacing w:before="120" w:after="120" w:line="0" w:lineRule="atLeast"/>
        <w:jc w:val="center"/>
        <w:outlineLvl w:val="0"/>
        <w:rPr>
          <w:rFonts w:ascii="仿宋" w:hAnsi="仿宋" w:eastAsia="仿宋" w:cs="仿宋"/>
          <w:b/>
          <w:sz w:val="44"/>
          <w:szCs w:val="21"/>
        </w:rPr>
      </w:pPr>
      <w:bookmarkStart w:id="197" w:name="_Hlt16619369"/>
      <w:bookmarkEnd w:id="197"/>
      <w:bookmarkStart w:id="198" w:name="_Hlt16619350"/>
      <w:bookmarkStart w:id="199" w:name="_Toc16938590"/>
      <w:bookmarkStart w:id="200" w:name="_Toc120614244"/>
      <w:bookmarkStart w:id="201" w:name="_Toc20823346"/>
      <w:bookmarkStart w:id="202" w:name="_Toc462564139"/>
      <w:bookmarkStart w:id="203" w:name="_Toc479757211"/>
      <w:r>
        <w:rPr>
          <w:rFonts w:hint="eastAsia" w:ascii="仿宋" w:hAnsi="仿宋" w:eastAsia="仿宋" w:cs="仿宋"/>
          <w:bCs/>
          <w:sz w:val="24"/>
          <w:szCs w:val="24"/>
        </w:rPr>
        <w:br w:type="page"/>
      </w:r>
      <w:bookmarkStart w:id="204" w:name="_Toc16952"/>
      <w:bookmarkStart w:id="205" w:name="_Toc20693"/>
      <w:bookmarkStart w:id="206" w:name="_Toc14539"/>
      <w:r>
        <w:rPr>
          <w:rFonts w:hint="eastAsia" w:ascii="仿宋" w:hAnsi="仿宋" w:eastAsia="仿宋" w:cs="仿宋"/>
          <w:b/>
          <w:sz w:val="44"/>
          <w:szCs w:val="21"/>
        </w:rPr>
        <w:t>第</w:t>
      </w:r>
      <w:bookmarkEnd w:id="198"/>
      <w:r>
        <w:rPr>
          <w:rFonts w:hint="eastAsia" w:ascii="仿宋" w:hAnsi="仿宋" w:eastAsia="仿宋" w:cs="仿宋"/>
          <w:b/>
          <w:sz w:val="44"/>
          <w:szCs w:val="21"/>
        </w:rPr>
        <w:t>四章 采购需求</w:t>
      </w:r>
      <w:bookmarkEnd w:id="199"/>
      <w:bookmarkEnd w:id="200"/>
      <w:bookmarkEnd w:id="201"/>
      <w:bookmarkEnd w:id="204"/>
      <w:bookmarkEnd w:id="205"/>
      <w:bookmarkEnd w:id="206"/>
      <w:bookmarkStart w:id="207" w:name="_Toc49090575"/>
      <w:bookmarkStart w:id="208" w:name="_Toc26554093"/>
    </w:p>
    <w:p w14:paraId="6B584385">
      <w:pPr>
        <w:spacing w:line="500" w:lineRule="exact"/>
        <w:ind w:firstLine="560" w:firstLineChars="200"/>
        <w:rPr>
          <w:rFonts w:ascii="仿宋" w:hAnsi="仿宋" w:eastAsia="仿宋" w:cs="仿宋"/>
          <w:bCs/>
          <w:sz w:val="28"/>
          <w:szCs w:val="28"/>
        </w:rPr>
      </w:pPr>
      <w:r>
        <w:rPr>
          <w:rFonts w:hint="eastAsia" w:ascii="仿宋" w:hAnsi="仿宋" w:eastAsia="仿宋" w:cs="仿宋"/>
          <w:bCs/>
          <w:sz w:val="28"/>
          <w:szCs w:val="28"/>
        </w:rPr>
        <w:t>供应商在制作响应文件时仔细研究项目需求说明。项目需求包括技术要求和商务要求:</w:t>
      </w:r>
    </w:p>
    <w:p w14:paraId="28F59380">
      <w:pPr>
        <w:spacing w:line="500" w:lineRule="exact"/>
        <w:ind w:firstLine="560" w:firstLineChars="200"/>
        <w:rPr>
          <w:rFonts w:ascii="仿宋" w:hAnsi="仿宋" w:eastAsia="仿宋" w:cs="仿宋"/>
          <w:bCs/>
          <w:sz w:val="28"/>
          <w:szCs w:val="28"/>
        </w:rPr>
      </w:pPr>
      <w:r>
        <w:rPr>
          <w:rFonts w:hint="eastAsia" w:ascii="仿宋" w:hAnsi="仿宋" w:eastAsia="仿宋" w:cs="仿宋"/>
          <w:bCs/>
          <w:sz w:val="28"/>
          <w:szCs w:val="28"/>
        </w:rPr>
        <w:t>技术要求是指对采购标的功能和质量要求，包括性能、材料、结构、外观、安全，或者服务内容和标准等,</w:t>
      </w:r>
      <w:r>
        <w:rPr>
          <w:rFonts w:hint="eastAsia" w:ascii="仿宋" w:hAnsi="仿宋" w:eastAsia="仿宋" w:cs="仿宋"/>
          <w:b/>
          <w:i/>
          <w:iCs/>
          <w:sz w:val="28"/>
          <w:szCs w:val="28"/>
          <w:u w:val="single"/>
        </w:rPr>
        <w:t>其中必须满足的实质性要求加斜体下划线</w:t>
      </w:r>
      <w:r>
        <w:rPr>
          <w:rFonts w:hint="eastAsia" w:ascii="仿宋" w:hAnsi="仿宋" w:eastAsia="仿宋" w:cs="仿宋"/>
          <w:bCs/>
          <w:sz w:val="28"/>
          <w:szCs w:val="28"/>
        </w:rPr>
        <w:t>。</w:t>
      </w:r>
    </w:p>
    <w:p w14:paraId="6E0BAC2E">
      <w:pPr>
        <w:spacing w:line="500" w:lineRule="exact"/>
        <w:ind w:firstLine="560" w:firstLineChars="200"/>
        <w:rPr>
          <w:rFonts w:ascii="仿宋" w:hAnsi="仿宋" w:eastAsia="仿宋" w:cs="仿宋"/>
          <w:bCs/>
          <w:sz w:val="28"/>
          <w:szCs w:val="28"/>
        </w:rPr>
      </w:pPr>
      <w:r>
        <w:rPr>
          <w:rFonts w:hint="eastAsia" w:ascii="仿宋" w:hAnsi="仿宋" w:eastAsia="仿宋" w:cs="仿宋"/>
          <w:bCs/>
          <w:sz w:val="28"/>
          <w:szCs w:val="28"/>
        </w:rPr>
        <w:t>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其中必须满足的实质性要求加斜体下划线</w:t>
      </w:r>
      <w:r>
        <w:rPr>
          <w:rFonts w:hint="eastAsia" w:ascii="仿宋" w:hAnsi="仿宋" w:eastAsia="仿宋" w:cs="仿宋"/>
          <w:b/>
          <w:i/>
          <w:iCs/>
          <w:sz w:val="28"/>
          <w:szCs w:val="28"/>
        </w:rPr>
        <w:t>。</w:t>
      </w:r>
    </w:p>
    <w:p w14:paraId="20D9D7EA">
      <w:pPr>
        <w:spacing w:line="500" w:lineRule="exact"/>
        <w:rPr>
          <w:rFonts w:ascii="仿宋" w:hAnsi="仿宋" w:eastAsia="仿宋" w:cs="仿宋"/>
          <w:bCs/>
          <w:sz w:val="24"/>
          <w:szCs w:val="24"/>
        </w:rPr>
      </w:pPr>
    </w:p>
    <w:p w14:paraId="2A84A08A">
      <w:pPr>
        <w:adjustRightInd w:val="0"/>
        <w:snapToGrid w:val="0"/>
        <w:spacing w:line="500" w:lineRule="exact"/>
        <w:rPr>
          <w:rFonts w:ascii="仿宋" w:hAnsi="仿宋" w:eastAsia="仿宋" w:cs="仿宋"/>
          <w:sz w:val="28"/>
          <w:szCs w:val="28"/>
        </w:rPr>
      </w:pPr>
      <w:r>
        <w:rPr>
          <w:rFonts w:hint="eastAsia" w:ascii="仿宋" w:hAnsi="仿宋" w:eastAsia="仿宋" w:cs="仿宋"/>
          <w:b/>
          <w:bCs/>
          <w:sz w:val="32"/>
          <w:szCs w:val="32"/>
        </w:rPr>
        <w:t>一、其内容包含：</w:t>
      </w:r>
    </w:p>
    <w:p w14:paraId="1914AF36">
      <w:pPr>
        <w:adjustRightInd w:val="0"/>
        <w:snapToGrid w:val="0"/>
        <w:spacing w:line="50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（一）采购标的需实现的功能或者目标，以及为落实政府采购政策需满足的要求；</w:t>
      </w:r>
    </w:p>
    <w:p w14:paraId="5F347110">
      <w:pPr>
        <w:adjustRightInd w:val="0"/>
        <w:snapToGrid w:val="0"/>
        <w:spacing w:line="500" w:lineRule="exact"/>
        <w:ind w:firstLine="480" w:firstLineChars="200"/>
        <w:rPr>
          <w:rFonts w:ascii="仿宋" w:hAnsi="仿宋" w:eastAsia="仿宋" w:cs="仿宋"/>
          <w:b/>
          <w:bCs/>
          <w:sz w:val="24"/>
          <w:szCs w:val="24"/>
        </w:rPr>
      </w:pPr>
      <w:r>
        <w:rPr>
          <w:rStyle w:val="24"/>
          <w:rFonts w:hint="eastAsia" w:ascii="仿宋" w:hAnsi="仿宋" w:eastAsia="仿宋" w:cs="仿宋"/>
          <w:color w:val="000000" w:themeColor="text1"/>
          <w:sz w:val="24"/>
          <w:szCs w:val="24"/>
          <w14:textFill>
            <w14:solidFill>
              <w14:schemeClr w14:val="tx1"/>
            </w14:solidFill>
          </w14:textFill>
        </w:rPr>
        <w:t>本项目旨在打造具有如东本地文化特色的移动端政务服务体系，在如东移动端旗舰店界面设计上，融入如东本土文化元素，打造简洁明快、特色鲜明的移动端界面，遵循“界面友好、清晰明确、便捷高效、统一稳定”原则，减少用户输入成本，优化触控热区，尤其针对老年群体开发老年版，采用“大字模式+语音检索”，解决其操作难题。通过开发“大众版+老年版”双模式，精准适配不同用户群体需求，同步建设 APP端、支付宝小程序端及鸿蒙系统适配版本，实现“一端开发，多端运行”，对接“南通百通”用户体系，达成多端用户身份互信与单点登录。梳理未在线办理事项，推动更多政务服务“掌上办”，移植“如易办”小程序功能拓展线上服务场景；通过“专区服务”集成企业电子印章等功能，优化跨部门协同，压缩办事时间。此外，借助“苏信通”消息中心主动推送信息，完善用户反馈体系，形成服务优化闭环，全面提升政务服务效率和质量。</w:t>
      </w:r>
    </w:p>
    <w:p w14:paraId="6EC3D890">
      <w:pPr>
        <w:adjustRightInd w:val="0"/>
        <w:snapToGrid w:val="0"/>
        <w:spacing w:line="50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（二）采购标的需执行的国家相关标准、行业标准、地方标准或者其他标准、规范；</w:t>
      </w:r>
    </w:p>
    <w:p w14:paraId="4B925A5A">
      <w:pPr>
        <w:adjustRightInd w:val="0"/>
        <w:snapToGrid w:val="0"/>
        <w:spacing w:line="500" w:lineRule="exact"/>
        <w:ind w:firstLine="480" w:firstLineChars="200"/>
        <w:rPr>
          <w:rFonts w:ascii="仿宋" w:hAnsi="仿宋" w:eastAsia="仿宋" w:cs="仿宋"/>
          <w:b/>
          <w:bCs/>
          <w:sz w:val="24"/>
          <w:szCs w:val="24"/>
        </w:rPr>
      </w:pPr>
      <w:r>
        <w:rPr>
          <w:rStyle w:val="24"/>
          <w:rFonts w:hint="eastAsia" w:ascii="仿宋" w:hAnsi="仿宋" w:eastAsia="仿宋" w:cs="仿宋"/>
          <w:color w:val="000000" w:themeColor="text1"/>
          <w:sz w:val="24"/>
          <w:szCs w:val="24"/>
          <w14:textFill>
            <w14:solidFill>
              <w14:schemeClr w14:val="tx1"/>
            </w14:solidFill>
          </w14:textFill>
        </w:rPr>
        <w:t>深入推进江苏省《关于加快“苏服办”总门户集成推进政务服务条块统合工作的通知》（苏协调办〔2022〕5 号）的要求，实现政务服务事项高标准“一网通办”，做到“一入口、好办事、管全程”，线上好办、易办。</w:t>
      </w:r>
      <w:r>
        <w:rPr>
          <w:rFonts w:hint="eastAsia" w:ascii="仿宋" w:hAnsi="仿宋" w:eastAsia="仿宋" w:cs="仿宋"/>
          <w:sz w:val="24"/>
          <w:szCs w:val="24"/>
        </w:rPr>
        <w:t>通过改版“苏服办”APP如东旗舰店、建设支付宝小程序、完成鸿蒙系统适配、移植现有功能模块、实现多端用户体系对接等方式，构建统一、便捷、智能的政务服务平台，提升服务覆盖面和用户体验。</w:t>
      </w:r>
    </w:p>
    <w:p w14:paraId="1EB4B1F6">
      <w:pPr>
        <w:adjustRightInd w:val="0"/>
        <w:snapToGrid w:val="0"/>
        <w:spacing w:line="50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（三）采购标的需满足的质量、安全、技术规格、物理特性等要求；</w:t>
      </w:r>
    </w:p>
    <w:p w14:paraId="74771DEA">
      <w:pPr>
        <w:spacing w:line="360" w:lineRule="auto"/>
        <w:ind w:firstLine="480" w:firstLineChars="200"/>
        <w:rPr>
          <w:rStyle w:val="24"/>
          <w:rFonts w:ascii="仿宋" w:hAnsi="仿宋" w:eastAsia="仿宋" w:cs="仿宋"/>
          <w:color w:val="000000" w:themeColor="text1"/>
          <w:sz w:val="24"/>
          <w:szCs w:val="24"/>
          <w14:textFill>
            <w14:solidFill>
              <w14:schemeClr w14:val="tx1"/>
            </w14:solidFill>
          </w14:textFill>
        </w:rPr>
      </w:pPr>
      <w:r>
        <w:rPr>
          <w:rStyle w:val="24"/>
          <w:rFonts w:hint="eastAsia" w:ascii="仿宋" w:hAnsi="仿宋" w:eastAsia="仿宋" w:cs="仿宋"/>
          <w:color w:val="000000" w:themeColor="text1"/>
          <w:sz w:val="24"/>
          <w:szCs w:val="24"/>
          <w14:textFill>
            <w14:solidFill>
              <w14:schemeClr w14:val="tx1"/>
            </w14:solidFill>
          </w14:textFill>
        </w:rPr>
        <w:t>本项目的建设内容以构建“一体多端、数据互通、服务融合、体验一致”的如东县移动端政务服务体系为核心目标，进行系统性的规划与实施。一是建设"苏服办"APP如东旗舰店改版，通过界面重构、功能优化和特色专区建设，打造具有如东本地特色的双模式服务门户，全面提升用户体验和服务效能。二是建设移动端应用接入，通过本地查询应用开发和省市级应用下沉，构建覆盖个人与法人全生命周期办事场景的服务矩阵，计划接入与下沉不低于80项政务服务应用。三是建设支付宝小程序服务端，基于"苏服办"支付宝小程序框架，开发如东县政务服务小程序，实现与APP端服务同步、用户体系互通。四是建设鸿蒙系统适配版本，基于江苏省低代码平台完成如东旗舰店的鸿蒙端适配改造，确保在鸿蒙系统上页面正常展示、功能完整运行。五是建设功能移植模块，将"如易办"小程序群众侧功能完整移植至"苏服办"APP与"南通百通"APP，实现服务内容统一、用户体验一致。六是建设小程序跳转通道，在"南通百通"微信小程序中设置跳转链接，实现向"如意办"微信小程序的平滑跳转和单点登录。七是系统对接，完成与省级统一身份认证、智能检索、用户空间及消息中心等核心公共能力的全面对接。</w:t>
      </w:r>
    </w:p>
    <w:p w14:paraId="28AE887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1.1 “苏服办”APP如东旗舰店改版建设</w:t>
      </w:r>
    </w:p>
    <w:p w14:paraId="78C9F3D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1.1.1 页面设计与用户体验优化</w:t>
      </w:r>
    </w:p>
    <w:p w14:paraId="003F6B1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页面设计需融入如东本地文化元素，整体风格简洁明快、特色鲜明，符合“界面友好、清晰明确、便捷高效、统一稳定”的设计原则。应提供大众版与老年版双模式，支持用户一键切换，系统自动记录模式选择，并在下次启动时保持当前模式。</w:t>
      </w:r>
    </w:p>
    <w:p w14:paraId="3DCF9B2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1.1.2 旗舰店核心功能建设</w:t>
      </w:r>
    </w:p>
    <w:p w14:paraId="0753EC1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功能建设包括情景切换、语音检索、常用服务（医保、养老金、公积金、亮证等）、首页订阅、公告模块、政务资讯专栏及特色专栏（如生活缴费、政务地图、老年人专区）。语音检索需基于省级平台统一检索能力，支持语音输入与识别；首页订阅需实现“千人千面”的智能推荐；公告模块需与省级通知公告同步并支持个性化展示。</w:t>
      </w:r>
    </w:p>
    <w:p w14:paraId="66FD6CE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1.1.3 老年人服务专区建设</w:t>
      </w:r>
    </w:p>
    <w:p w14:paraId="68556EF4">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老年人专区应提供大字版本、语音找服务、常用服务推荐办、爱心专窗帮你办、大厅服务预约办及服务评价功能，切实解决老年用户“找不到、办不了、用不好”的问题。</w:t>
      </w:r>
    </w:p>
    <w:p w14:paraId="2F4C29A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1.2 移动端应用接入</w:t>
      </w:r>
    </w:p>
    <w:p w14:paraId="5B3F61B3">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1.2.1 本地查询应用开发</w:t>
      </w:r>
    </w:p>
    <w:p w14:paraId="45FFD3B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通过对本地服务事项的梳理，参照省政务服务网标准应用清单，开发查询类应用，设计访问页面、查询表单及内容展示形式，推动更多服务“能上尽上”。</w:t>
      </w:r>
    </w:p>
    <w:p w14:paraId="070C972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1.2.2 省市级应用下沉</w:t>
      </w:r>
    </w:p>
    <w:p w14:paraId="3874742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从省级平台下沉不少于80项高频服务应用至如东旗舰店，涵盖教育、科技、民政、人社、医疗、税务等多个部门，提升如东旗舰店的服务丰富度和用户访问量。</w:t>
      </w:r>
    </w:p>
    <w:p w14:paraId="4589180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1.3 支付宝小程序建设</w:t>
      </w:r>
    </w:p>
    <w:p w14:paraId="0D5D5BE4">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1.3.1 小程序框架与功能建设</w:t>
      </w:r>
    </w:p>
    <w:p w14:paraId="6113880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基于“苏服办”支付宝小程序总框架，原生开发如东县政务服务旗舰店小程序端，实现与APP端服务一致。重点围绕个人用户提供省、市、县三级高频服务的查询与办理功能。</w:t>
      </w:r>
    </w:p>
    <w:p w14:paraId="703C2F6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1.3.2 用户体系与体验整合</w:t>
      </w:r>
    </w:p>
    <w:p w14:paraId="4286B93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完成支付宝小程序用户体系与江苏省统一身份认证平台的对接，实现用户互信与单点登录，确保用户交互体验一致、操作便捷。</w:t>
      </w:r>
    </w:p>
    <w:p w14:paraId="35CCF3F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1.4 苏服办旗舰店鸿蒙改造</w:t>
      </w:r>
    </w:p>
    <w:p w14:paraId="0A18A61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1.4.1 多端适配与页面开发</w:t>
      </w:r>
    </w:p>
    <w:p w14:paraId="4D727A5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基于江苏省低代码平台与移动多端平台，开展鸿蒙端页面设计、功能规划、前端框架改造、业务功能组件适配及应用容器适配工作，确保在鸿蒙系统上页面正常展示、功能完整运行。</w:t>
      </w:r>
    </w:p>
    <w:p w14:paraId="33B8689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1.4.2 服务一致性保障</w:t>
      </w:r>
    </w:p>
    <w:p w14:paraId="71AE791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确保鸿蒙端与iOS、Android双端在服务内容、功能体验上保持一致，包括帮办代办、政务地图、企业电子印章等特色服务。</w:t>
      </w:r>
    </w:p>
    <w:p w14:paraId="446C167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1.5 功能移植</w:t>
      </w:r>
    </w:p>
    <w:p w14:paraId="3092911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1.5.1 “苏服办”APP功能移植</w:t>
      </w:r>
    </w:p>
    <w:p w14:paraId="6A4BA414">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将“如易办”小程序群众侧功能完整移植至“苏服办”APP，包括用户体系接入、通知公告、事项搜索、楼层导航、窗口电话、样表查询、排队信息、特色服务（AI智能绘图、远程导办、行政指导申请）、部门服务、街镇服务、个人服务、法人服务及“倾听群众、服务群众”相关功能。</w:t>
      </w:r>
    </w:p>
    <w:p w14:paraId="73EF2C3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1.5.2 “南通百通”APP功能移植</w:t>
      </w:r>
    </w:p>
    <w:p w14:paraId="26BFD9C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同步将“如易办”小程序群众侧功能移植至“南通百通”APP，确保两端的服务内容、功能模块及用户体验保持一致。</w:t>
      </w:r>
    </w:p>
    <w:p w14:paraId="5D3C401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1.6 小程序接入挂载</w:t>
      </w:r>
    </w:p>
    <w:p w14:paraId="344A1A4C">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在“南通百通”微信小程序中设置跳转链接，用户点击后可跳转至“如意办”微信小程序，并实现用户体系对接与单点登录，保障用户在跳转过程中无需重复登录，实现服务无缝切换。</w:t>
      </w:r>
    </w:p>
    <w:p w14:paraId="510854A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1.7 系统对接</w:t>
      </w:r>
    </w:p>
    <w:p w14:paraId="0A58D97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1.7.1 统一身份认证对接</w:t>
      </w:r>
    </w:p>
    <w:p w14:paraId="76199FF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按照江苏省统一身份认证系统对接要求，完成如东政务服务平台与省级平台的对接，支持单点登录、用户信息同步等功能。</w:t>
      </w:r>
    </w:p>
    <w:p w14:paraId="4FB57B0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1.7.2 统一智能检索对接</w:t>
      </w:r>
    </w:p>
    <w:p w14:paraId="537685B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将如东旗舰店数据索引库推送至省级智能检索系统，实现全省政务数据资源的统一检索与全覆盖。</w:t>
      </w:r>
    </w:p>
    <w:p w14:paraId="32880D94">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1.7.3 统一用户空间对接</w:t>
      </w:r>
    </w:p>
    <w:p w14:paraId="0048638C">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对接省级用户空间，逐步取消如东本地用户空间，实现全省办件信息的统一管理。</w:t>
      </w:r>
    </w:p>
    <w:p w14:paraId="6B0C237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1.7.4 统一消息中心对接</w:t>
      </w:r>
    </w:p>
    <w:p w14:paraId="17AAF04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对接省级“苏信通”消息中心，实现消息订阅、提醒与推送服务，包括公告、办件结果、政策动态等信息。</w:t>
      </w:r>
    </w:p>
    <w:p w14:paraId="46D4FDAB">
      <w:pPr>
        <w:adjustRightInd w:val="0"/>
        <w:snapToGrid w:val="0"/>
        <w:spacing w:line="50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（四）采购标的的数量、采购项目交付或者实施的时间和地点；</w:t>
      </w:r>
    </w:p>
    <w:p w14:paraId="62271A89">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实施地点：如东县数据局</w:t>
      </w:r>
    </w:p>
    <w:p w14:paraId="47CA7F36">
      <w:pPr>
        <w:adjustRightInd w:val="0"/>
        <w:snapToGrid w:val="0"/>
        <w:spacing w:line="500" w:lineRule="exact"/>
        <w:ind w:firstLine="480" w:firstLineChars="200"/>
        <w:rPr>
          <w:rFonts w:ascii="仿宋" w:hAnsi="仿宋" w:eastAsia="仿宋" w:cs="仿宋"/>
          <w:i/>
          <w:iCs/>
          <w:kern w:val="0"/>
          <w:sz w:val="24"/>
          <w:szCs w:val="24"/>
          <w:u w:val="single"/>
        </w:rPr>
      </w:pPr>
      <w:r>
        <w:rPr>
          <w:rFonts w:hint="eastAsia" w:ascii="仿宋" w:hAnsi="仿宋" w:eastAsia="仿宋" w:cs="仿宋"/>
          <w:i/>
          <w:iCs/>
          <w:kern w:val="0"/>
          <w:sz w:val="24"/>
          <w:szCs w:val="24"/>
          <w:u w:val="single"/>
        </w:rPr>
        <w:t>实施时间：从合同签订之日2个月内完成系统开发件集成对接、调试并上线运行。</w:t>
      </w:r>
    </w:p>
    <w:p w14:paraId="58DE9A38">
      <w:pPr>
        <w:adjustRightInd w:val="0"/>
        <w:snapToGrid w:val="0"/>
        <w:spacing w:line="50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（五）采购标的需满足的服务标准、期限、效率等要求；</w:t>
      </w:r>
    </w:p>
    <w:p w14:paraId="148F66DD">
      <w:pPr>
        <w:spacing w:line="360" w:lineRule="auto"/>
        <w:ind w:firstLine="482" w:firstLineChars="200"/>
        <w:rPr>
          <w:rFonts w:ascii="仿宋" w:hAnsi="仿宋" w:eastAsia="仿宋" w:cs="仿宋"/>
          <w:i/>
          <w:iCs/>
          <w:sz w:val="24"/>
          <w:szCs w:val="24"/>
          <w:u w:val="single"/>
        </w:rPr>
      </w:pPr>
      <w:r>
        <w:rPr>
          <w:rFonts w:hint="eastAsia" w:ascii="仿宋" w:hAnsi="仿宋" w:eastAsia="仿宋" w:cs="仿宋"/>
          <w:b/>
          <w:bCs/>
          <w:i/>
          <w:iCs/>
          <w:sz w:val="24"/>
          <w:szCs w:val="24"/>
          <w:u w:val="single"/>
        </w:rPr>
        <w:t>质保期:</w:t>
      </w:r>
      <w:r>
        <w:rPr>
          <w:rFonts w:hint="eastAsia" w:ascii="仿宋" w:hAnsi="仿宋" w:eastAsia="仿宋" w:cs="仿宋"/>
          <w:i/>
          <w:iCs/>
          <w:sz w:val="24"/>
          <w:szCs w:val="24"/>
          <w:u w:val="single"/>
        </w:rPr>
        <w:t>本项目免费质保期为1年、在质保期内，成交供应商应严格按照以下服务要求，为采购人提供全面且优质的质保服务。涵盖范围：本次采购项目清单内的所有内容，均在质保服务范围内。</w:t>
      </w:r>
    </w:p>
    <w:p w14:paraId="32828175">
      <w:pPr>
        <w:spacing w:line="360" w:lineRule="auto"/>
        <w:ind w:firstLine="482" w:firstLineChars="200"/>
        <w:rPr>
          <w:rFonts w:ascii="仿宋" w:hAnsi="仿宋" w:eastAsia="仿宋" w:cs="仿宋"/>
          <w:i/>
          <w:iCs/>
          <w:sz w:val="24"/>
          <w:szCs w:val="24"/>
          <w:u w:val="single"/>
        </w:rPr>
      </w:pPr>
      <w:r>
        <w:rPr>
          <w:rFonts w:hint="eastAsia" w:ascii="仿宋" w:hAnsi="仿宋" w:eastAsia="仿宋" w:cs="仿宋"/>
          <w:b/>
          <w:bCs/>
          <w:i/>
          <w:iCs/>
          <w:sz w:val="24"/>
          <w:szCs w:val="24"/>
          <w:u w:val="single"/>
        </w:rPr>
        <w:t>旗舰店运维服务</w:t>
      </w:r>
      <w:r>
        <w:rPr>
          <w:rFonts w:hint="eastAsia" w:ascii="仿宋" w:hAnsi="仿宋" w:eastAsia="仿宋" w:cs="仿宋"/>
          <w:i/>
          <w:iCs/>
          <w:sz w:val="24"/>
          <w:szCs w:val="24"/>
          <w:u w:val="single"/>
        </w:rPr>
        <w:t>：提供错误修复服务的指导和支持。不定期对现有产品进行性能优化。解决产品 BUG。节假日提供相关技术值班服务，专人远程值班响应。乙方承诺，在质保期内，针对硬件设备的维修服务，免收上门服务费、检测费以及工时费，包括节假日的紧急服务，确保采购人在任何时间遇到硬件问题，都无需额外支付人工相关费用。​</w:t>
      </w:r>
    </w:p>
    <w:p w14:paraId="35FC24CF">
      <w:pPr>
        <w:spacing w:line="360" w:lineRule="auto"/>
        <w:ind w:firstLine="482" w:firstLineChars="200"/>
        <w:rPr>
          <w:rFonts w:ascii="仿宋" w:hAnsi="仿宋" w:eastAsia="仿宋" w:cs="仿宋"/>
          <w:i/>
          <w:iCs/>
          <w:sz w:val="24"/>
          <w:szCs w:val="24"/>
          <w:u w:val="single"/>
        </w:rPr>
      </w:pPr>
      <w:r>
        <w:rPr>
          <w:rFonts w:hint="eastAsia" w:ascii="仿宋" w:hAnsi="仿宋" w:eastAsia="仿宋" w:cs="仿宋"/>
          <w:b/>
          <w:bCs/>
          <w:i/>
          <w:iCs/>
          <w:sz w:val="24"/>
          <w:szCs w:val="24"/>
          <w:u w:val="single"/>
        </w:rPr>
        <w:t>免费升级与更新：</w:t>
      </w:r>
      <w:r>
        <w:rPr>
          <w:rFonts w:hint="eastAsia" w:ascii="仿宋" w:hAnsi="仿宋" w:eastAsia="仿宋" w:cs="仿宋"/>
          <w:i/>
          <w:iCs/>
          <w:sz w:val="24"/>
          <w:szCs w:val="24"/>
          <w:u w:val="single"/>
        </w:rPr>
        <w:t>成交供应商应及时为采购人提供软件的升级版本及更新补丁，包括但不限于功能升级、性能提升、安全漏洞修复等方面的更新。升级与更新服务应在新版本或补丁发布后的 1周内完成部署，确保采购人使用的软件始终处于最新且安全稳定的状态。在进行软件升级与更新前，成交供应商需提前向采购人提交详细的升级说明及操作指南，包括升级内容、可能对现有业务造成的影响及应对措施等，待采购人确认后方可实施。</w:t>
      </w:r>
    </w:p>
    <w:p w14:paraId="5E94741A">
      <w:pPr>
        <w:spacing w:line="360" w:lineRule="auto"/>
        <w:ind w:firstLine="482" w:firstLineChars="200"/>
        <w:rPr>
          <w:rFonts w:ascii="仿宋" w:hAnsi="仿宋" w:eastAsia="仿宋" w:cs="仿宋"/>
          <w:i/>
          <w:iCs/>
          <w:sz w:val="24"/>
          <w:szCs w:val="24"/>
          <w:u w:val="single"/>
        </w:rPr>
      </w:pPr>
      <w:r>
        <w:rPr>
          <w:rFonts w:hint="eastAsia" w:ascii="仿宋" w:hAnsi="仿宋" w:eastAsia="仿宋" w:cs="仿宋"/>
          <w:b/>
          <w:bCs/>
          <w:i/>
          <w:iCs/>
          <w:sz w:val="24"/>
          <w:szCs w:val="24"/>
          <w:u w:val="single"/>
        </w:rPr>
        <w:t>培训及服务响应：</w:t>
      </w:r>
      <w:r>
        <w:rPr>
          <w:rFonts w:hint="eastAsia" w:ascii="仿宋" w:hAnsi="仿宋" w:eastAsia="仿宋" w:cs="仿宋"/>
          <w:i/>
          <w:iCs/>
          <w:sz w:val="24"/>
          <w:szCs w:val="24"/>
          <w:u w:val="single"/>
        </w:rPr>
        <w:t>应制定详细的</w:t>
      </w:r>
      <w:r>
        <w:rPr>
          <w:rFonts w:hint="eastAsia" w:ascii="仿宋" w:hAnsi="仿宋" w:eastAsia="仿宋" w:cs="仿宋"/>
          <w:i/>
          <w:iCs/>
          <w:sz w:val="24"/>
          <w:szCs w:val="24"/>
          <w:u w:val="single"/>
          <w:lang w:val="zh-CN"/>
        </w:rPr>
        <w:t>服务实施及培训方案</w:t>
      </w:r>
      <w:r>
        <w:rPr>
          <w:rFonts w:hint="eastAsia" w:ascii="仿宋" w:hAnsi="仿宋" w:eastAsia="仿宋" w:cs="仿宋"/>
          <w:i/>
          <w:iCs/>
          <w:sz w:val="24"/>
          <w:szCs w:val="24"/>
          <w:u w:val="single"/>
        </w:rPr>
        <w:t>，提供 7*24 小时的技术支持和服务，30 分钟内响应，针对远程无法解决的重大质量故障 5 小时内现场响应，24 小时内解决故障；对于突发事件，应提供突发事件应急处理预案；应能提供现场或安全的远程诊断服务及时解决软件系统产生的各种问题；应能提供系统管理咨询服务解决使用过程中的各种疑难问题。对使用人员进行操作及相关技术培训，培训内容包含但不限于：培训计划、培训目标、培训师资力量、培训内容等。</w:t>
      </w:r>
    </w:p>
    <w:p w14:paraId="5116151C">
      <w:pPr>
        <w:numPr>
          <w:ilvl w:val="0"/>
          <w:numId w:val="2"/>
        </w:numPr>
        <w:adjustRightInd w:val="0"/>
        <w:snapToGrid w:val="0"/>
        <w:spacing w:line="50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采购标的的验收标准、方法、时间；</w:t>
      </w:r>
    </w:p>
    <w:p w14:paraId="0C46C654">
      <w:pPr>
        <w:spacing w:line="360" w:lineRule="auto"/>
        <w:ind w:firstLine="480" w:firstLineChars="200"/>
        <w:rPr>
          <w:rFonts w:hint="eastAsia"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本项目试运行期为1个月，期满后成交供应商应向采购人提交完整的试运行记录。若试运行期间系统运行正常并符合采购人要求，双方应在试运行结束后5个工作日内组织验收，验收地点在如东县数据局进行。</w:t>
      </w:r>
    </w:p>
    <w:p w14:paraId="1CCE2EA0">
      <w:pPr>
        <w:spacing w:line="360" w:lineRule="auto"/>
        <w:ind w:firstLine="480" w:firstLineChars="200"/>
        <w:rPr>
          <w:rFonts w:hint="eastAsia"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验收由采购人组织相关专家，依据本合同、磋商文件、投标文件及采购人的具体要求，对成交供应商完成的工作情况进行评审。验收方案及资料（含验收细则、文档清单，内容覆盖需求调研、软件设计、软件开发、系统测试、实施上线、运行维护等各阶段）须事先经采购人确认，并作为验收执行标准。若验收中发现系统功能、解决方案等未达到约定标准或性能指标，成交供应商须在采购人指定时间内完成整改，相关费用由成交供应商承担。项目通过验收后，双方应共同签署验收合格证书并加盖公章。此外，如因用户实际需求新增或系统升级导致软件功能与现有建设内容存在差异，成交供应商应根据采购人需求及时调整相关功能，以确保系统最终符合实际使用要求。验收阶段所涉及的全部费用均由成交供应商负责。</w:t>
      </w:r>
    </w:p>
    <w:p w14:paraId="37AEE532">
      <w:pPr>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（七）采购标的的其他技术、服务等要求（增加商品包装、快递包装的相关要求）；</w:t>
      </w:r>
    </w:p>
    <w:p w14:paraId="48FD9840">
      <w:pPr>
        <w:adjustRightInd w:val="0"/>
        <w:snapToGrid w:val="0"/>
        <w:spacing w:line="500" w:lineRule="exact"/>
        <w:ind w:firstLine="720" w:firstLineChars="300"/>
        <w:rPr>
          <w:rFonts w:ascii="仿宋" w:hAnsi="仿宋" w:eastAsia="仿宋" w:cs="仿宋"/>
          <w:b/>
          <w:sz w:val="24"/>
          <w:szCs w:val="24"/>
        </w:rPr>
      </w:pPr>
      <w:r>
        <w:rPr>
          <w:rFonts w:hint="eastAsia" w:ascii="仿宋" w:hAnsi="仿宋" w:eastAsia="仿宋" w:cs="仿宋"/>
          <w:sz w:val="24"/>
          <w:szCs w:val="24"/>
        </w:rPr>
        <w:t>1、商品包装环保要求：应当按《关于印发〈商品包装政府采购需求标准(试行）〉、〈快递包装政府采购需求标准(试行)〉的通知》 (财办库</w:t>
      </w:r>
      <w:r>
        <w:rPr>
          <w:rFonts w:hint="eastAsia" w:ascii="仿宋" w:hAnsi="仿宋" w:eastAsia="仿宋" w:cs="仿宋"/>
          <w:color w:val="FF0000"/>
          <w:sz w:val="24"/>
          <w:szCs w:val="24"/>
        </w:rPr>
        <w:t>〔2020〕</w:t>
      </w:r>
      <w:r>
        <w:rPr>
          <w:rFonts w:hint="eastAsia" w:ascii="仿宋" w:hAnsi="仿宋" w:eastAsia="仿宋" w:cs="仿宋"/>
          <w:sz w:val="24"/>
          <w:szCs w:val="24"/>
        </w:rPr>
        <w:t>123号)文件执行。</w:t>
      </w:r>
    </w:p>
    <w:p w14:paraId="65E8A788">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（1）商品包装层数不得超过 3 层，空隙率不大于 40%；</w:t>
      </w:r>
    </w:p>
    <w:p w14:paraId="3ABD8E1F">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（2）商品包装尽可能使用单一材质的包装材料，如因功能需求必需使用不同材质，不同材质间应便于分离；</w:t>
      </w:r>
    </w:p>
    <w:p w14:paraId="5C13E823">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（3）商品包装中铅、汞、镉、六价铬的总含量应不大于100mg/kg；</w:t>
      </w:r>
    </w:p>
    <w:p w14:paraId="2261A001">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（4）商品包装印刷使用的油墨中挥发性有机化合物(VOCs)含量应不大于 5%（以重量计）；</w:t>
      </w:r>
    </w:p>
    <w:p w14:paraId="679FBEDF">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（5）塑料材质商品包装上呈现的印刷颜色不得超过 6 色；</w:t>
      </w:r>
    </w:p>
    <w:p w14:paraId="038C78E1">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（6）纸质商品包装应使用 75%以上的可再生纤维原料生产；</w:t>
      </w:r>
    </w:p>
    <w:p w14:paraId="2C638A97">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（7）木质商品包装的原料应来源于可持续性森林。</w:t>
      </w:r>
    </w:p>
    <w:p w14:paraId="3827C86D">
      <w:pPr>
        <w:adjustRightInd w:val="0"/>
        <w:snapToGrid w:val="0"/>
        <w:spacing w:line="500" w:lineRule="exact"/>
        <w:ind w:firstLine="720" w:firstLineChars="300"/>
        <w:rPr>
          <w:rFonts w:ascii="仿宋" w:hAnsi="仿宋" w:eastAsia="仿宋" w:cs="仿宋"/>
          <w:sz w:val="24"/>
          <w:szCs w:val="24"/>
        </w:rPr>
      </w:pPr>
      <w:r>
        <w:rPr>
          <w:rFonts w:hint="eastAsia" w:ascii="仿宋" w:hAnsi="仿宋" w:eastAsia="仿宋" w:cs="仿宋"/>
          <w:sz w:val="24"/>
          <w:szCs w:val="24"/>
        </w:rPr>
        <w:t>2、快递包装环保要求：</w:t>
      </w:r>
    </w:p>
    <w:p w14:paraId="6F883481">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（1）快递包装中重金属（铅、汞、镉、六价铬）总量应不大于 100mg/kg；</w:t>
      </w:r>
    </w:p>
    <w:p w14:paraId="28560F78">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（2）快递包装印刷使用的油墨中不应添加邻苯二甲酸酯，其挥发性有机化合物(VOCs)含量应不大于5%（以重量计）；</w:t>
      </w:r>
    </w:p>
    <w:p w14:paraId="7903068C">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（3）快递包装中使用纸基材的包装材料，纸基材中的有机氯的含量应不大于 150 mg/kg；</w:t>
      </w:r>
    </w:p>
    <w:p w14:paraId="67E1953F">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5EC507C8">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（5）快递中使用的塑料包装袋不得使用聚氯乙烯作为原料，且原料应为单一材质制成，生物分解率大于60%；</w:t>
      </w:r>
    </w:p>
    <w:p w14:paraId="56BC86E6">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（6）快递中使用的充气类填充物不得使用聚氯乙烯作为 原料，且原料为单一材质制成，生物分解率大于60%；</w:t>
      </w:r>
    </w:p>
    <w:p w14:paraId="1DC24A0E">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（7）快递中使用的集装袋应为单一材质制成，其重复使用次数应不小于 80 次；</w:t>
      </w:r>
    </w:p>
    <w:p w14:paraId="067665FA">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（8）快递中应使用幅宽不大于45mm 的生物降解胶带；</w:t>
      </w:r>
    </w:p>
    <w:p w14:paraId="693D99CB">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（9）快递包装中不得使用溶剂型胶粘剂；</w:t>
      </w:r>
    </w:p>
    <w:p w14:paraId="7F7B3179">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（10）快递应使用电子面单；</w:t>
      </w:r>
    </w:p>
    <w:p w14:paraId="7DD2E120">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（11）直接使用商品包装作为快递包装的商品，其商品包装满足《商品包装政府采购需求标准（试行）》即可；</w:t>
      </w:r>
    </w:p>
    <w:p w14:paraId="4B8C984C">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（12）快递包装产品质量和封装方式应符合相关国家或行业标准技术指标要求。</w:t>
      </w:r>
    </w:p>
    <w:p w14:paraId="49EFE589">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3、绿色数据中心</w:t>
      </w:r>
    </w:p>
    <w:p w14:paraId="627276B1">
      <w:pPr>
        <w:spacing w:after="120" w:line="500" w:lineRule="exact"/>
        <w:ind w:firstLine="480" w:firstLineChars="200"/>
        <w:rPr>
          <w:rFonts w:ascii="仿宋" w:hAnsi="仿宋" w:eastAsia="仿宋" w:cs="仿宋"/>
          <w:kern w:val="0"/>
          <w:sz w:val="24"/>
          <w:szCs w:val="24"/>
        </w:rPr>
      </w:pPr>
      <w:r>
        <w:rPr>
          <w:rFonts w:hint="eastAsia" w:ascii="仿宋" w:hAnsi="仿宋" w:eastAsia="仿宋" w:cs="仿宋"/>
          <w:sz w:val="24"/>
          <w:szCs w:val="24"/>
        </w:rPr>
        <w:t>4、低挥发性有机化合物产品：</w:t>
      </w:r>
      <w:r>
        <w:rPr>
          <w:rFonts w:hint="eastAsia" w:ascii="仿宋" w:hAnsi="仿宋" w:eastAsia="仿宋" w:cs="仿宋"/>
          <w:kern w:val="0"/>
          <w:sz w:val="24"/>
          <w:szCs w:val="24"/>
          <w:lang w:val="zh-CN"/>
        </w:rPr>
        <w:t>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kern w:val="0"/>
          <w:sz w:val="24"/>
          <w:szCs w:val="24"/>
        </w:rPr>
        <w:t>应</w:t>
      </w:r>
      <w:r>
        <w:rPr>
          <w:rFonts w:hint="eastAsia" w:ascii="仿宋" w:hAnsi="仿宋" w:eastAsia="仿宋" w:cs="仿宋"/>
          <w:kern w:val="0"/>
          <w:sz w:val="24"/>
          <w:szCs w:val="24"/>
          <w:lang w:val="zh-CN"/>
        </w:rPr>
        <w:t>优先使用低挥发性原辅材料</w:t>
      </w:r>
      <w:r>
        <w:rPr>
          <w:rFonts w:hint="eastAsia" w:ascii="仿宋" w:hAnsi="仿宋" w:eastAsia="仿宋" w:cs="仿宋"/>
          <w:kern w:val="0"/>
          <w:sz w:val="24"/>
          <w:szCs w:val="24"/>
        </w:rPr>
        <w:t>，将使用低</w:t>
      </w:r>
      <w:r>
        <w:rPr>
          <w:rFonts w:hint="eastAsia" w:ascii="仿宋" w:hAnsi="仿宋" w:eastAsia="仿宋" w:cs="仿宋"/>
          <w:kern w:val="0"/>
          <w:sz w:val="24"/>
          <w:szCs w:val="24"/>
          <w:lang w:val="zh-CN"/>
        </w:rPr>
        <w:t>VOCs含量的</w:t>
      </w:r>
      <w:r>
        <w:rPr>
          <w:rFonts w:hint="eastAsia" w:ascii="仿宋" w:hAnsi="仿宋" w:eastAsia="仿宋" w:cs="仿宋"/>
          <w:kern w:val="0"/>
          <w:sz w:val="24"/>
          <w:szCs w:val="24"/>
        </w:rPr>
        <w:t>涂料、</w:t>
      </w:r>
      <w:r>
        <w:rPr>
          <w:rFonts w:hint="eastAsia" w:ascii="仿宋" w:hAnsi="仿宋" w:eastAsia="仿宋" w:cs="仿宋"/>
          <w:kern w:val="0"/>
          <w:sz w:val="24"/>
          <w:szCs w:val="24"/>
          <w:lang w:val="zh-CN"/>
        </w:rPr>
        <w:t>胶黏剂</w:t>
      </w:r>
      <w:r>
        <w:rPr>
          <w:rFonts w:hint="eastAsia" w:ascii="仿宋" w:hAnsi="仿宋" w:eastAsia="仿宋" w:cs="仿宋"/>
          <w:kern w:val="0"/>
          <w:sz w:val="24"/>
          <w:szCs w:val="24"/>
        </w:rPr>
        <w:t>等纳入合同条款。</w:t>
      </w:r>
    </w:p>
    <w:p w14:paraId="50FB73AD">
      <w:pPr>
        <w:spacing w:after="120" w:line="500" w:lineRule="exact"/>
        <w:ind w:firstLine="480" w:firstLineChars="200"/>
        <w:rPr>
          <w:rFonts w:ascii="仿宋" w:hAnsi="仿宋" w:eastAsia="仿宋" w:cs="仿宋"/>
          <w:kern w:val="0"/>
          <w:sz w:val="24"/>
          <w:szCs w:val="24"/>
          <w:lang w:val="zh-CN"/>
        </w:rPr>
      </w:pPr>
      <w:r>
        <w:rPr>
          <w:rFonts w:hint="eastAsia" w:ascii="仿宋" w:hAnsi="仿宋" w:eastAsia="仿宋" w:cs="仿宋"/>
          <w:sz w:val="24"/>
          <w:szCs w:val="24"/>
        </w:rPr>
        <w:t>5、节能环保产品：</w:t>
      </w:r>
      <w:r>
        <w:rPr>
          <w:rFonts w:hint="eastAsia" w:ascii="仿宋" w:hAnsi="仿宋" w:eastAsia="仿宋" w:cs="仿宋"/>
          <w:kern w:val="0"/>
          <w:sz w:val="24"/>
          <w:szCs w:val="24"/>
          <w:lang w:val="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41916691">
      <w:pPr>
        <w:spacing w:after="120" w:line="500" w:lineRule="exact"/>
        <w:ind w:firstLine="480" w:firstLineChars="200"/>
        <w:rPr>
          <w:rFonts w:ascii="仿宋" w:hAnsi="仿宋" w:eastAsia="仿宋" w:cs="仿宋"/>
          <w:kern w:val="0"/>
          <w:sz w:val="24"/>
          <w:szCs w:val="24"/>
        </w:rPr>
      </w:pPr>
      <w:r>
        <w:rPr>
          <w:rFonts w:hint="eastAsia" w:ascii="仿宋" w:hAnsi="仿宋" w:eastAsia="仿宋" w:cs="仿宋"/>
          <w:bCs/>
          <w:kern w:val="0"/>
          <w:sz w:val="24"/>
          <w:szCs w:val="24"/>
        </w:rPr>
        <w:t>6、绿色低碳管理目标和服务要求：</w:t>
      </w:r>
      <w:r>
        <w:rPr>
          <w:rFonts w:hint="eastAsia" w:ascii="仿宋" w:hAnsi="仿宋" w:eastAsia="仿宋" w:cs="仿宋"/>
          <w:kern w:val="0"/>
          <w:sz w:val="24"/>
          <w:szCs w:val="24"/>
        </w:rPr>
        <w:t>在物业、合同能源管理等服务类采购项目需求中，要强化绿色低碳管理目标和服务要求，促进绿色产品和服务推广应用。</w:t>
      </w:r>
    </w:p>
    <w:p w14:paraId="35DF840F">
      <w:pPr>
        <w:spacing w:after="120" w:line="500" w:lineRule="exact"/>
        <w:ind w:firstLine="480" w:firstLineChars="200"/>
        <w:rPr>
          <w:rFonts w:ascii="仿宋" w:hAnsi="仿宋" w:eastAsia="仿宋" w:cs="仿宋"/>
          <w:bCs/>
          <w:kern w:val="0"/>
          <w:sz w:val="24"/>
          <w:szCs w:val="24"/>
        </w:rPr>
      </w:pPr>
      <w:r>
        <w:rPr>
          <w:rFonts w:hint="eastAsia" w:ascii="仿宋" w:hAnsi="仿宋" w:eastAsia="仿宋" w:cs="仿宋"/>
          <w:bCs/>
          <w:kern w:val="0"/>
          <w:sz w:val="24"/>
          <w:szCs w:val="24"/>
        </w:rPr>
        <w:t>7、采购的货物或者服务属信创产品目录内容内的，须遵照信创产品要求提供货物或服务；</w:t>
      </w:r>
    </w:p>
    <w:p w14:paraId="162C268C">
      <w:pPr>
        <w:adjustRightInd w:val="0"/>
        <w:snapToGrid w:val="0"/>
        <w:spacing w:line="500" w:lineRule="exact"/>
        <w:ind w:firstLine="482" w:firstLineChars="200"/>
        <w:rPr>
          <w:rFonts w:ascii="仿宋" w:hAnsi="仿宋" w:eastAsia="仿宋" w:cs="仿宋"/>
          <w:b/>
          <w:bCs/>
          <w:i/>
          <w:iCs/>
          <w:sz w:val="24"/>
          <w:szCs w:val="24"/>
          <w:u w:val="single"/>
        </w:rPr>
      </w:pPr>
      <w:r>
        <w:rPr>
          <w:rFonts w:hint="eastAsia" w:ascii="仿宋" w:hAnsi="仿宋" w:eastAsia="仿宋" w:cs="仿宋"/>
          <w:b/>
          <w:bCs/>
          <w:i/>
          <w:iCs/>
          <w:sz w:val="24"/>
          <w:szCs w:val="24"/>
          <w:u w:val="single"/>
        </w:rPr>
        <w:t>（八）付款方式；</w:t>
      </w:r>
    </w:p>
    <w:p w14:paraId="47FA63C0">
      <w:pPr>
        <w:spacing w:line="360" w:lineRule="auto"/>
        <w:ind w:firstLine="480" w:firstLineChars="200"/>
        <w:rPr>
          <w:rFonts w:hint="eastAsia" w:ascii="仿宋" w:hAnsi="仿宋" w:eastAsia="仿宋" w:cs="仿宋"/>
          <w:i/>
          <w:iCs/>
          <w:sz w:val="24"/>
          <w:szCs w:val="24"/>
          <w:u w:val="single"/>
        </w:rPr>
      </w:pPr>
      <w:r>
        <w:rPr>
          <w:rFonts w:hint="eastAsia" w:ascii="仿宋" w:hAnsi="仿宋" w:eastAsia="仿宋" w:cs="仿宋"/>
          <w:i/>
          <w:iCs/>
          <w:sz w:val="24"/>
          <w:szCs w:val="24"/>
          <w:u w:val="single"/>
        </w:rPr>
        <w:t>成交供应商应在合同签订之前，向采购人提交符合要求的履约保函。</w:t>
      </w:r>
    </w:p>
    <w:p w14:paraId="59ECE023">
      <w:pPr>
        <w:spacing w:line="360" w:lineRule="auto"/>
        <w:ind w:firstLine="480" w:firstLineChars="200"/>
        <w:rPr>
          <w:rFonts w:hint="eastAsia" w:ascii="仿宋" w:hAnsi="仿宋" w:eastAsia="仿宋" w:cs="仿宋"/>
          <w:i/>
          <w:iCs/>
          <w:sz w:val="24"/>
          <w:szCs w:val="24"/>
          <w:u w:val="single"/>
        </w:rPr>
      </w:pPr>
      <w:r>
        <w:rPr>
          <w:rFonts w:hint="eastAsia" w:ascii="仿宋" w:hAnsi="仿宋" w:eastAsia="仿宋" w:cs="仿宋"/>
          <w:i/>
          <w:iCs/>
          <w:sz w:val="24"/>
          <w:szCs w:val="24"/>
          <w:u w:val="single"/>
        </w:rPr>
        <w:t>本合同自双方法定代表人或授权代表签字并加盖公章之日起生效。生效后15个自然日内，成交供应商应向采购人提交预付款申请函。采购人审核无误后，支付合同金额40%的预付款。</w:t>
      </w:r>
    </w:p>
    <w:p w14:paraId="3B8BA0C8">
      <w:pPr>
        <w:spacing w:line="360" w:lineRule="auto"/>
        <w:ind w:firstLine="480" w:firstLineChars="200"/>
        <w:rPr>
          <w:rFonts w:hint="eastAsia" w:ascii="仿宋" w:hAnsi="仿宋" w:eastAsia="仿宋" w:cs="仿宋"/>
          <w:i/>
          <w:iCs/>
          <w:sz w:val="24"/>
          <w:szCs w:val="24"/>
          <w:u w:val="single"/>
        </w:rPr>
      </w:pPr>
      <w:r>
        <w:rPr>
          <w:rFonts w:hint="eastAsia" w:ascii="仿宋" w:hAnsi="仿宋" w:eastAsia="仿宋" w:cs="仿宋"/>
          <w:i/>
          <w:iCs/>
          <w:sz w:val="24"/>
          <w:szCs w:val="24"/>
          <w:u w:val="single"/>
        </w:rPr>
        <w:t>成交供应商完成系统开发工作后，应向采购人提交系统验收申请及完整的验收资料。采购人在接到申请后，组织双方技术人员依据合同约定的技术标准和功能要求进行验收。验收合格的，采购人支付至合同总金额的90%。若验收不合格，成交供应商应在采购人规定的时间内完成整改并重新提交验收。</w:t>
      </w:r>
    </w:p>
    <w:p w14:paraId="5F242DAB">
      <w:pPr>
        <w:spacing w:line="360" w:lineRule="auto"/>
        <w:ind w:firstLine="480" w:firstLineChars="200"/>
        <w:rPr>
          <w:rFonts w:hint="eastAsia" w:ascii="仿宋" w:hAnsi="仿宋" w:eastAsia="仿宋" w:cs="仿宋"/>
          <w:i/>
          <w:iCs/>
          <w:sz w:val="24"/>
          <w:szCs w:val="24"/>
          <w:u w:val="single"/>
        </w:rPr>
      </w:pPr>
    </w:p>
    <w:p w14:paraId="2E9F6B2F">
      <w:pPr>
        <w:spacing w:line="360" w:lineRule="auto"/>
        <w:ind w:firstLine="480" w:firstLineChars="200"/>
        <w:rPr>
          <w:rFonts w:ascii="仿宋" w:hAnsi="仿宋" w:eastAsia="仿宋" w:cs="仿宋"/>
          <w:i/>
          <w:iCs/>
          <w:sz w:val="24"/>
          <w:szCs w:val="24"/>
          <w:u w:val="single"/>
        </w:rPr>
      </w:pPr>
      <w:r>
        <w:rPr>
          <w:rFonts w:hint="eastAsia" w:ascii="仿宋" w:hAnsi="仿宋" w:eastAsia="仿宋" w:cs="仿宋"/>
          <w:i/>
          <w:iCs/>
          <w:sz w:val="24"/>
          <w:szCs w:val="24"/>
          <w:u w:val="single"/>
        </w:rPr>
        <w:t>系统自验收合格之日起，进入为期1年的免费运维服务期。免费运维服务期满，如成交供应商未发生质量及售后责任问题，采购人支付合同金额10%的尾款。</w:t>
      </w:r>
    </w:p>
    <w:p w14:paraId="1EC3C88F">
      <w:pPr>
        <w:adjustRightInd w:val="0"/>
        <w:snapToGrid w:val="0"/>
        <w:spacing w:line="500" w:lineRule="exact"/>
        <w:ind w:firstLine="482" w:firstLineChars="200"/>
        <w:rPr>
          <w:rFonts w:ascii="仿宋" w:hAnsi="仿宋" w:eastAsia="仿宋" w:cs="仿宋"/>
          <w:b/>
          <w:bCs/>
          <w:i/>
          <w:iCs/>
          <w:sz w:val="24"/>
          <w:szCs w:val="24"/>
          <w:u w:val="single"/>
        </w:rPr>
      </w:pPr>
      <w:r>
        <w:rPr>
          <w:rFonts w:hint="eastAsia" w:ascii="仿宋" w:hAnsi="仿宋" w:eastAsia="仿宋" w:cs="仿宋"/>
          <w:b/>
          <w:bCs/>
          <w:i/>
          <w:iCs/>
          <w:sz w:val="24"/>
          <w:szCs w:val="24"/>
          <w:u w:val="single"/>
        </w:rPr>
        <w:t>（九）履约保证金；</w:t>
      </w:r>
    </w:p>
    <w:p w14:paraId="2C10732A">
      <w:pPr>
        <w:spacing w:after="120" w:line="500" w:lineRule="exact"/>
        <w:ind w:firstLine="480" w:firstLineChars="200"/>
        <w:rPr>
          <w:rFonts w:ascii="仿宋" w:hAnsi="仿宋" w:eastAsia="仿宋" w:cs="仿宋"/>
          <w:i/>
          <w:iCs/>
          <w:kern w:val="0"/>
          <w:sz w:val="24"/>
          <w:szCs w:val="24"/>
          <w:u w:val="single"/>
          <w:lang w:val="zh-CN"/>
        </w:rPr>
      </w:pPr>
      <w:r>
        <w:rPr>
          <w:rFonts w:hint="eastAsia" w:ascii="仿宋" w:hAnsi="仿宋" w:eastAsia="仿宋" w:cs="仿宋"/>
          <w:i/>
          <w:iCs/>
          <w:color w:val="000000"/>
          <w:kern w:val="0"/>
          <w:sz w:val="24"/>
          <w:szCs w:val="24"/>
          <w:u w:val="single"/>
          <w:lang w:val="zh-CN"/>
        </w:rPr>
        <w:t>本项目成交后的履约保证金为项目成交价的</w:t>
      </w:r>
      <w:r>
        <w:rPr>
          <w:rFonts w:hint="eastAsia" w:ascii="仿宋" w:hAnsi="仿宋" w:eastAsia="仿宋" w:cs="仿宋"/>
          <w:i/>
          <w:iCs/>
          <w:color w:val="000000"/>
          <w:kern w:val="0"/>
          <w:sz w:val="24"/>
          <w:szCs w:val="24"/>
          <w:u w:val="single"/>
        </w:rPr>
        <w:t>5</w:t>
      </w:r>
      <w:r>
        <w:rPr>
          <w:rFonts w:hint="eastAsia" w:ascii="仿宋" w:hAnsi="仿宋" w:eastAsia="仿宋" w:cs="仿宋"/>
          <w:i/>
          <w:iCs/>
          <w:color w:val="000000"/>
          <w:kern w:val="0"/>
          <w:sz w:val="24"/>
          <w:szCs w:val="24"/>
          <w:u w:val="single"/>
          <w:lang w:val="zh-CN"/>
        </w:rPr>
        <w:t>%</w:t>
      </w:r>
      <w:r>
        <w:rPr>
          <w:rFonts w:hint="eastAsia" w:ascii="仿宋" w:hAnsi="仿宋" w:eastAsia="仿宋" w:cs="仿宋"/>
          <w:i/>
          <w:iCs/>
          <w:kern w:val="0"/>
          <w:sz w:val="24"/>
          <w:szCs w:val="24"/>
          <w:u w:val="single"/>
          <w:lang w:val="zh-CN"/>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280B62AB">
      <w:pPr>
        <w:adjustRightInd w:val="0"/>
        <w:snapToGrid w:val="0"/>
        <w:spacing w:line="500" w:lineRule="exact"/>
        <w:ind w:firstLine="482" w:firstLineChars="200"/>
        <w:rPr>
          <w:rFonts w:ascii="仿宋" w:hAnsi="仿宋" w:eastAsia="仿宋" w:cs="仿宋"/>
          <w:b/>
          <w:bCs/>
          <w:i/>
          <w:iCs/>
          <w:sz w:val="24"/>
          <w:szCs w:val="24"/>
          <w:u w:val="single"/>
        </w:rPr>
      </w:pPr>
      <w:r>
        <w:rPr>
          <w:rFonts w:hint="eastAsia" w:ascii="仿宋" w:hAnsi="仿宋" w:eastAsia="仿宋" w:cs="仿宋"/>
          <w:b/>
          <w:bCs/>
          <w:i/>
          <w:iCs/>
          <w:sz w:val="24"/>
          <w:szCs w:val="24"/>
          <w:u w:val="single"/>
        </w:rPr>
        <w:t>（十）安全责任；</w:t>
      </w:r>
    </w:p>
    <w:p w14:paraId="064BFBA2">
      <w:pPr>
        <w:spacing w:after="120" w:line="500" w:lineRule="exact"/>
        <w:ind w:firstLine="480" w:firstLineChars="200"/>
        <w:rPr>
          <w:rFonts w:ascii="仿宋" w:hAnsi="仿宋" w:eastAsia="仿宋" w:cs="仿宋"/>
          <w:i/>
          <w:iCs/>
          <w:kern w:val="0"/>
          <w:sz w:val="24"/>
          <w:szCs w:val="24"/>
          <w:u w:val="single"/>
          <w:lang w:val="zh-CN"/>
        </w:rPr>
      </w:pPr>
      <w:r>
        <w:rPr>
          <w:rFonts w:hint="eastAsia" w:ascii="仿宋" w:hAnsi="仿宋" w:eastAsia="仿宋" w:cs="仿宋"/>
          <w:i/>
          <w:iCs/>
          <w:kern w:val="0"/>
          <w:sz w:val="24"/>
          <w:szCs w:val="24"/>
          <w:u w:val="single"/>
          <w:lang w:val="zh-CN"/>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p>
    <w:p w14:paraId="2A4F7A9E">
      <w:pPr>
        <w:spacing w:line="500" w:lineRule="exact"/>
        <w:ind w:firstLine="480" w:firstLineChars="200"/>
        <w:rPr>
          <w:rFonts w:ascii="仿宋" w:hAnsi="仿宋" w:eastAsia="仿宋" w:cs="仿宋"/>
          <w:sz w:val="24"/>
          <w:szCs w:val="21"/>
          <w:highlight w:val="yellow"/>
        </w:rPr>
      </w:pPr>
    </w:p>
    <w:p w14:paraId="19FFEA1C">
      <w:pPr>
        <w:spacing w:line="500" w:lineRule="exact"/>
        <w:rPr>
          <w:rFonts w:ascii="仿宋" w:hAnsi="仿宋" w:eastAsia="仿宋" w:cs="仿宋"/>
          <w:sz w:val="24"/>
          <w:szCs w:val="24"/>
          <w:highlight w:val="yellow"/>
        </w:rPr>
      </w:pPr>
    </w:p>
    <w:p w14:paraId="2935CF7E">
      <w:pPr>
        <w:keepNext/>
        <w:spacing w:line="500" w:lineRule="exact"/>
        <w:jc w:val="center"/>
        <w:outlineLvl w:val="0"/>
        <w:rPr>
          <w:rFonts w:ascii="仿宋" w:hAnsi="仿宋" w:eastAsia="仿宋" w:cs="仿宋"/>
          <w:b/>
          <w:sz w:val="44"/>
          <w:szCs w:val="28"/>
        </w:rPr>
      </w:pPr>
      <w:bookmarkStart w:id="209" w:name="_Toc120614281"/>
      <w:r>
        <w:rPr>
          <w:rFonts w:hint="eastAsia" w:ascii="仿宋" w:hAnsi="仿宋" w:eastAsia="仿宋" w:cs="仿宋"/>
          <w:bCs/>
          <w:sz w:val="44"/>
          <w:szCs w:val="28"/>
        </w:rPr>
        <w:br w:type="page"/>
      </w:r>
      <w:bookmarkStart w:id="210" w:name="_Toc20957"/>
      <w:bookmarkStart w:id="211" w:name="_Toc88"/>
      <w:bookmarkStart w:id="212" w:name="_Toc19886"/>
      <w:r>
        <w:rPr>
          <w:rFonts w:hint="eastAsia" w:ascii="仿宋" w:hAnsi="仿宋" w:eastAsia="仿宋" w:cs="仿宋"/>
          <w:b/>
          <w:sz w:val="44"/>
          <w:szCs w:val="28"/>
        </w:rPr>
        <w:t>第五章  评审方法与评审标准</w:t>
      </w:r>
      <w:bookmarkEnd w:id="210"/>
      <w:bookmarkEnd w:id="211"/>
      <w:bookmarkEnd w:id="212"/>
    </w:p>
    <w:p w14:paraId="578C8D2A">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一、评审方法：</w:t>
      </w:r>
    </w:p>
    <w:p w14:paraId="170347C0">
      <w:pPr>
        <w:pStyle w:val="12"/>
        <w:spacing w:line="500" w:lineRule="exact"/>
        <w:ind w:firstLine="480"/>
        <w:rPr>
          <w:rFonts w:ascii="仿宋" w:hAnsi="仿宋" w:eastAsia="仿宋" w:cs="仿宋"/>
          <w:sz w:val="24"/>
          <w:szCs w:val="24"/>
        </w:rPr>
      </w:pPr>
      <w:r>
        <w:rPr>
          <w:rFonts w:hint="eastAsia" w:ascii="仿宋" w:hAnsi="仿宋" w:eastAsia="仿宋" w:cs="仿宋"/>
          <w:sz w:val="24"/>
          <w:szCs w:val="24"/>
        </w:rPr>
        <w:t>采用综合评分法，经磋商确定最终采购需求和提交最后报价的供应商后，由磋商小组采用综合评分法对提交最后报价的供应商的响应文件和最后报价进行综合评分。</w:t>
      </w:r>
    </w:p>
    <w:p w14:paraId="6850B92A">
      <w:pPr>
        <w:pStyle w:val="12"/>
        <w:spacing w:line="500" w:lineRule="exact"/>
        <w:ind w:firstLine="480"/>
        <w:rPr>
          <w:rFonts w:ascii="仿宋" w:hAnsi="仿宋" w:eastAsia="仿宋" w:cs="仿宋"/>
          <w:sz w:val="24"/>
          <w:szCs w:val="24"/>
        </w:rPr>
      </w:pPr>
      <w:r>
        <w:rPr>
          <w:rFonts w:hint="eastAsia" w:ascii="仿宋" w:hAnsi="仿宋" w:eastAsia="仿宋" w:cs="仿宋"/>
          <w:sz w:val="24"/>
          <w:szCs w:val="24"/>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70EDB712">
      <w:pPr>
        <w:adjustRightInd w:val="0"/>
        <w:spacing w:before="120" w:after="120" w:line="360" w:lineRule="auto"/>
        <w:jc w:val="left"/>
        <w:textAlignment w:val="baseline"/>
        <w:rPr>
          <w:rFonts w:ascii="仿宋" w:hAnsi="仿宋" w:eastAsia="仿宋" w:cs="仿宋"/>
          <w:b/>
          <w:sz w:val="24"/>
          <w:szCs w:val="24"/>
          <w:highlight w:val="cyan"/>
        </w:rPr>
      </w:pPr>
      <w:r>
        <w:rPr>
          <w:rFonts w:hint="eastAsia" w:ascii="仿宋" w:hAnsi="仿宋" w:eastAsia="仿宋" w:cs="仿宋"/>
          <w:b/>
          <w:bCs/>
          <w:sz w:val="32"/>
          <w:szCs w:val="32"/>
        </w:rPr>
        <w:t>二、政府采购政策功能落实</w:t>
      </w:r>
    </w:p>
    <w:p w14:paraId="7279ECFB">
      <w:pPr>
        <w:pStyle w:val="12"/>
        <w:ind w:firstLine="480"/>
        <w:jc w:val="left"/>
        <w:rPr>
          <w:rFonts w:ascii="仿宋" w:hAnsi="仿宋" w:eastAsia="仿宋" w:cs="仿宋"/>
          <w:sz w:val="24"/>
          <w:szCs w:val="24"/>
        </w:rPr>
      </w:pPr>
      <w:r>
        <w:rPr>
          <w:rFonts w:hint="eastAsia" w:ascii="仿宋" w:hAnsi="仿宋" w:eastAsia="仿宋" w:cs="仿宋"/>
          <w:sz w:val="24"/>
          <w:szCs w:val="24"/>
        </w:rPr>
        <w:t>1、小微型企业价格扣除</w:t>
      </w:r>
    </w:p>
    <w:p w14:paraId="10B3B95E">
      <w:pPr>
        <w:pStyle w:val="12"/>
        <w:ind w:firstLine="480"/>
        <w:rPr>
          <w:rFonts w:ascii="仿宋" w:hAnsi="仿宋" w:eastAsia="仿宋" w:cs="仿宋"/>
          <w:sz w:val="24"/>
          <w:szCs w:val="24"/>
        </w:rPr>
      </w:pPr>
      <w:r>
        <w:rPr>
          <w:rFonts w:hint="eastAsia" w:ascii="仿宋" w:hAnsi="仿宋" w:eastAsia="仿宋" w:cs="仿宋"/>
          <w:sz w:val="24"/>
          <w:szCs w:val="24"/>
        </w:rPr>
        <w:t>（1）本项目对小型和微型企业提供的服务给予10%的扣除价格，用扣除后的价格参与评审。</w:t>
      </w:r>
    </w:p>
    <w:p w14:paraId="4480392A">
      <w:pPr>
        <w:pStyle w:val="12"/>
        <w:ind w:firstLine="480"/>
        <w:rPr>
          <w:rFonts w:ascii="仿宋" w:hAnsi="仿宋" w:eastAsia="仿宋" w:cs="仿宋"/>
          <w:sz w:val="24"/>
          <w:szCs w:val="24"/>
        </w:rPr>
      </w:pPr>
      <w:r>
        <w:rPr>
          <w:rFonts w:hint="eastAsia" w:ascii="仿宋" w:hAnsi="仿宋" w:eastAsia="仿宋" w:cs="仿宋"/>
          <w:sz w:val="24"/>
          <w:szCs w:val="24"/>
        </w:rPr>
        <w:t>（2）供应商需按照《政府采购促进中小企业发展管理办法》（财库</w:t>
      </w:r>
      <w:r>
        <w:rPr>
          <w:rFonts w:hint="eastAsia" w:ascii="仿宋" w:hAnsi="仿宋" w:eastAsia="仿宋" w:cs="仿宋"/>
          <w:color w:val="FF0000"/>
          <w:sz w:val="24"/>
          <w:szCs w:val="24"/>
        </w:rPr>
        <w:t>〔2020〕</w:t>
      </w:r>
      <w:r>
        <w:rPr>
          <w:rFonts w:hint="eastAsia" w:ascii="仿宋" w:hAnsi="仿宋" w:eastAsia="仿宋" w:cs="仿宋"/>
          <w:sz w:val="24"/>
          <w:szCs w:val="24"/>
        </w:rPr>
        <w:t>46 号）的规定提供相应的《中小企业声明函》。</w:t>
      </w:r>
    </w:p>
    <w:p w14:paraId="2FD537DA">
      <w:pPr>
        <w:pStyle w:val="12"/>
        <w:ind w:firstLine="480"/>
        <w:rPr>
          <w:rFonts w:ascii="仿宋" w:hAnsi="仿宋" w:eastAsia="仿宋" w:cs="仿宋"/>
          <w:sz w:val="24"/>
          <w:szCs w:val="24"/>
        </w:rPr>
      </w:pPr>
      <w:r>
        <w:rPr>
          <w:rFonts w:hint="eastAsia" w:ascii="仿宋" w:hAnsi="仿宋" w:eastAsia="仿宋" w:cs="仿宋"/>
          <w:sz w:val="24"/>
          <w:szCs w:val="24"/>
        </w:rPr>
        <w:t>（3）企业标准请参照《关于印发中小企业划型标准规定的通知》（</w:t>
      </w:r>
      <w:bookmarkStart w:id="213" w:name="OLE_LINK1"/>
      <w:r>
        <w:rPr>
          <w:rFonts w:hint="eastAsia" w:ascii="仿宋" w:hAnsi="仿宋" w:eastAsia="仿宋" w:cs="仿宋"/>
          <w:sz w:val="24"/>
          <w:szCs w:val="24"/>
        </w:rPr>
        <w:t>工信部联企业</w:t>
      </w:r>
      <w:r>
        <w:rPr>
          <w:rFonts w:hint="eastAsia" w:ascii="仿宋" w:hAnsi="仿宋" w:eastAsia="仿宋" w:cs="仿宋"/>
          <w:color w:val="FF0000"/>
          <w:sz w:val="24"/>
          <w:szCs w:val="24"/>
        </w:rPr>
        <w:t>〔2011〕300号</w:t>
      </w:r>
      <w:r>
        <w:rPr>
          <w:rFonts w:hint="eastAsia" w:ascii="仿宋" w:hAnsi="仿宋" w:eastAsia="仿宋" w:cs="仿宋"/>
          <w:sz w:val="24"/>
          <w:szCs w:val="24"/>
        </w:rPr>
        <w:t>）</w:t>
      </w:r>
      <w:bookmarkEnd w:id="213"/>
      <w:r>
        <w:rPr>
          <w:rFonts w:hint="eastAsia" w:ascii="仿宋" w:hAnsi="仿宋" w:eastAsia="仿宋" w:cs="仿宋"/>
          <w:sz w:val="24"/>
          <w:szCs w:val="24"/>
        </w:rPr>
        <w:t>文件规定自行填写。</w:t>
      </w:r>
    </w:p>
    <w:p w14:paraId="4FEA0787">
      <w:pPr>
        <w:pStyle w:val="12"/>
        <w:ind w:firstLine="480"/>
        <w:rPr>
          <w:rFonts w:ascii="仿宋" w:hAnsi="仿宋" w:eastAsia="仿宋" w:cs="仿宋"/>
          <w:sz w:val="24"/>
          <w:szCs w:val="24"/>
        </w:rPr>
      </w:pPr>
      <w:r>
        <w:rPr>
          <w:rFonts w:hint="eastAsia" w:ascii="仿宋" w:hAnsi="仿宋" w:eastAsia="仿宋" w:cs="仿宋"/>
          <w:sz w:val="24"/>
          <w:szCs w:val="24"/>
        </w:rPr>
        <w:t>2、残疾人福利单位价格扣除</w:t>
      </w:r>
    </w:p>
    <w:p w14:paraId="74B9B96C">
      <w:pPr>
        <w:pStyle w:val="12"/>
        <w:ind w:firstLine="480"/>
        <w:rPr>
          <w:rFonts w:ascii="仿宋" w:hAnsi="仿宋" w:eastAsia="仿宋" w:cs="仿宋"/>
          <w:sz w:val="24"/>
          <w:szCs w:val="24"/>
        </w:rPr>
      </w:pPr>
      <w:r>
        <w:rPr>
          <w:rFonts w:hint="eastAsia" w:ascii="仿宋" w:hAnsi="仿宋" w:eastAsia="仿宋" w:cs="仿宋"/>
          <w:sz w:val="24"/>
          <w:szCs w:val="24"/>
        </w:rPr>
        <w:t>（1）本项目对残疾人福利性单位视同小型、微型企业，给予10%的价格扣除，用扣除后的价格参与评审。</w:t>
      </w:r>
    </w:p>
    <w:p w14:paraId="473768B9">
      <w:pPr>
        <w:pStyle w:val="12"/>
        <w:ind w:firstLine="480"/>
        <w:rPr>
          <w:rFonts w:ascii="仿宋" w:hAnsi="仿宋" w:eastAsia="仿宋" w:cs="仿宋"/>
          <w:sz w:val="24"/>
          <w:szCs w:val="24"/>
        </w:rPr>
      </w:pPr>
      <w:r>
        <w:rPr>
          <w:rFonts w:hint="eastAsia" w:ascii="仿宋" w:hAnsi="仿宋" w:eastAsia="仿宋" w:cs="仿宋"/>
          <w:sz w:val="24"/>
          <w:szCs w:val="24"/>
        </w:rPr>
        <w:t>（2）残疾人福利单位需按照磋商文件的要求提供《残疾人福利性单位声明函》。</w:t>
      </w:r>
    </w:p>
    <w:p w14:paraId="2734398D">
      <w:pPr>
        <w:pStyle w:val="12"/>
        <w:ind w:firstLine="480"/>
        <w:rPr>
          <w:rFonts w:ascii="仿宋" w:hAnsi="仿宋" w:eastAsia="仿宋" w:cs="仿宋"/>
          <w:sz w:val="24"/>
          <w:szCs w:val="24"/>
        </w:rPr>
      </w:pPr>
      <w:r>
        <w:rPr>
          <w:rFonts w:hint="eastAsia" w:ascii="仿宋" w:hAnsi="仿宋" w:eastAsia="仿宋" w:cs="仿宋"/>
          <w:sz w:val="24"/>
          <w:szCs w:val="24"/>
        </w:rPr>
        <w:t>（3）残疾人福利单位标准请参照《关于促进残疾人就业政府采购政策的通知》（财库</w:t>
      </w:r>
      <w:r>
        <w:rPr>
          <w:rFonts w:hint="eastAsia" w:ascii="仿宋" w:hAnsi="仿宋" w:eastAsia="仿宋" w:cs="仿宋"/>
          <w:color w:val="FF0000"/>
          <w:sz w:val="24"/>
          <w:szCs w:val="24"/>
        </w:rPr>
        <w:t>〔2017〕</w:t>
      </w:r>
      <w:r>
        <w:rPr>
          <w:rFonts w:hint="eastAsia" w:ascii="仿宋" w:hAnsi="仿宋" w:eastAsia="仿宋" w:cs="仿宋"/>
          <w:sz w:val="24"/>
          <w:szCs w:val="24"/>
        </w:rPr>
        <w:t>141号）。</w:t>
      </w:r>
    </w:p>
    <w:p w14:paraId="2AF3FFFF">
      <w:pPr>
        <w:pStyle w:val="12"/>
        <w:ind w:firstLine="480"/>
        <w:rPr>
          <w:rFonts w:ascii="仿宋" w:hAnsi="仿宋" w:eastAsia="仿宋" w:cs="仿宋"/>
          <w:sz w:val="24"/>
          <w:szCs w:val="24"/>
        </w:rPr>
      </w:pPr>
      <w:r>
        <w:rPr>
          <w:rFonts w:hint="eastAsia" w:ascii="仿宋" w:hAnsi="仿宋" w:eastAsia="仿宋" w:cs="仿宋"/>
          <w:sz w:val="24"/>
          <w:szCs w:val="24"/>
        </w:rPr>
        <w:t>3、监狱和戒毒企业价格扣除</w:t>
      </w:r>
    </w:p>
    <w:p w14:paraId="1FD91905">
      <w:pPr>
        <w:pStyle w:val="12"/>
        <w:ind w:firstLine="480"/>
        <w:rPr>
          <w:rFonts w:ascii="仿宋" w:hAnsi="仿宋" w:eastAsia="仿宋" w:cs="仿宋"/>
          <w:sz w:val="24"/>
          <w:szCs w:val="24"/>
        </w:rPr>
      </w:pPr>
      <w:r>
        <w:rPr>
          <w:rFonts w:hint="eastAsia" w:ascii="仿宋" w:hAnsi="仿宋" w:eastAsia="仿宋" w:cs="仿宋"/>
          <w:sz w:val="24"/>
          <w:szCs w:val="24"/>
        </w:rPr>
        <w:t>（1）本项目对监狱和戒毒企业（简称监狱企业）视同小型、微型企业，给予10%的价格扣除，用扣除后的价格参与评审。</w:t>
      </w:r>
    </w:p>
    <w:p w14:paraId="72EA3C17">
      <w:pPr>
        <w:pStyle w:val="12"/>
        <w:ind w:firstLine="480"/>
        <w:rPr>
          <w:rFonts w:ascii="仿宋" w:hAnsi="仿宋" w:eastAsia="仿宋" w:cs="仿宋"/>
          <w:sz w:val="24"/>
          <w:szCs w:val="24"/>
        </w:rPr>
      </w:pPr>
      <w:r>
        <w:rPr>
          <w:rFonts w:hint="eastAsia" w:ascii="仿宋" w:hAnsi="仿宋" w:eastAsia="仿宋" w:cs="仿宋"/>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0A2D655F">
      <w:pPr>
        <w:pStyle w:val="12"/>
        <w:ind w:firstLine="480"/>
        <w:rPr>
          <w:rFonts w:ascii="仿宋" w:hAnsi="仿宋" w:eastAsia="仿宋" w:cs="仿宋"/>
          <w:sz w:val="24"/>
          <w:szCs w:val="24"/>
        </w:rPr>
      </w:pPr>
      <w:r>
        <w:rPr>
          <w:rFonts w:hint="eastAsia" w:ascii="仿宋" w:hAnsi="仿宋" w:eastAsia="仿宋" w:cs="仿宋"/>
          <w:sz w:val="24"/>
          <w:szCs w:val="24"/>
        </w:rPr>
        <w:t>（3）监狱企业标准请参照《关于政府采购支持监狱企业发展有关问题的通知》（财库</w:t>
      </w:r>
      <w:r>
        <w:rPr>
          <w:rFonts w:hint="eastAsia" w:ascii="仿宋" w:hAnsi="仿宋" w:eastAsia="仿宋" w:cs="仿宋"/>
          <w:color w:val="FF0000"/>
          <w:sz w:val="24"/>
          <w:szCs w:val="24"/>
        </w:rPr>
        <w:t>〔2014〕</w:t>
      </w:r>
      <w:r>
        <w:rPr>
          <w:rFonts w:hint="eastAsia" w:ascii="仿宋" w:hAnsi="仿宋" w:eastAsia="仿宋" w:cs="仿宋"/>
          <w:sz w:val="24"/>
          <w:szCs w:val="24"/>
        </w:rPr>
        <w:t>68号）。</w:t>
      </w:r>
    </w:p>
    <w:p w14:paraId="64E8B288">
      <w:pPr>
        <w:pStyle w:val="12"/>
        <w:ind w:firstLine="480"/>
        <w:rPr>
          <w:rFonts w:ascii="仿宋" w:hAnsi="仿宋" w:eastAsia="仿宋" w:cs="仿宋"/>
          <w:sz w:val="24"/>
          <w:szCs w:val="24"/>
        </w:rPr>
      </w:pPr>
      <w:r>
        <w:rPr>
          <w:rFonts w:hint="eastAsia" w:ascii="仿宋" w:hAnsi="仿宋" w:eastAsia="仿宋" w:cs="仿宋"/>
          <w:sz w:val="24"/>
          <w:szCs w:val="24"/>
        </w:rPr>
        <w:t>4、残疾人福利单位、监狱企业属于小型、微型企业的，不重复享受政策。</w:t>
      </w:r>
    </w:p>
    <w:p w14:paraId="0AA926D1">
      <w:pPr>
        <w:pStyle w:val="12"/>
        <w:ind w:firstLine="480"/>
        <w:rPr>
          <w:rFonts w:ascii="仿宋" w:hAnsi="仿宋" w:eastAsia="仿宋" w:cs="仿宋"/>
          <w:sz w:val="24"/>
          <w:szCs w:val="24"/>
        </w:rPr>
      </w:pPr>
      <w:r>
        <w:rPr>
          <w:rFonts w:hint="eastAsia" w:ascii="仿宋" w:hAnsi="仿宋" w:eastAsia="仿宋" w:cs="仿宋"/>
          <w:sz w:val="24"/>
          <w:szCs w:val="24"/>
        </w:rPr>
        <w:t>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p>
    <w:p w14:paraId="551EB569">
      <w:pPr>
        <w:pStyle w:val="12"/>
        <w:ind w:firstLine="480"/>
        <w:rPr>
          <w:rFonts w:ascii="仿宋" w:hAnsi="仿宋" w:eastAsia="仿宋" w:cs="仿宋"/>
          <w:sz w:val="24"/>
          <w:szCs w:val="24"/>
        </w:rPr>
      </w:pPr>
      <w:r>
        <w:rPr>
          <w:rFonts w:hint="eastAsia" w:ascii="仿宋" w:hAnsi="仿宋" w:eastAsia="仿宋" w:cs="仿宋"/>
          <w:sz w:val="24"/>
          <w:szCs w:val="24"/>
        </w:rPr>
        <w:t>6、联合体各方均为小型、微型企业（残疾人福利单位、监狱企业）的，联合体享受10%价格扣除，用扣除后的价格参与评审。</w:t>
      </w:r>
    </w:p>
    <w:p w14:paraId="0460033A">
      <w:pPr>
        <w:pStyle w:val="12"/>
        <w:ind w:firstLine="482"/>
        <w:rPr>
          <w:rFonts w:ascii="仿宋" w:hAnsi="仿宋" w:eastAsia="仿宋" w:cs="仿宋"/>
          <w:b/>
          <w:bCs/>
          <w:sz w:val="24"/>
          <w:szCs w:val="24"/>
        </w:rPr>
      </w:pPr>
      <w:r>
        <w:rPr>
          <w:rFonts w:hint="eastAsia" w:ascii="仿宋" w:hAnsi="仿宋" w:eastAsia="仿宋" w:cs="仿宋"/>
          <w:b/>
          <w:bCs/>
          <w:sz w:val="24"/>
          <w:szCs w:val="24"/>
        </w:rPr>
        <w:t>7、专门面向中小企业采购的项目或者采购包，不再执行价格评审优惠的扶持政策。</w:t>
      </w:r>
    </w:p>
    <w:p w14:paraId="4E47AC03">
      <w:pPr>
        <w:pStyle w:val="12"/>
        <w:ind w:firstLine="480"/>
        <w:rPr>
          <w:rFonts w:ascii="仿宋" w:hAnsi="仿宋" w:eastAsia="仿宋" w:cs="仿宋"/>
        </w:rPr>
      </w:pPr>
      <w:r>
        <w:rPr>
          <w:rFonts w:hint="eastAsia" w:ascii="仿宋" w:hAnsi="仿宋" w:eastAsia="仿宋" w:cs="仿宋"/>
          <w:sz w:val="24"/>
          <w:szCs w:val="24"/>
        </w:rPr>
        <w:t>8、根据《江苏省政府采购信用管理暂行办法》的规定，供应商信用评价结果为三星的扣2分，评价结果为二星的扣3分，评价结果为一星的扣4分</w:t>
      </w:r>
      <w:r>
        <w:rPr>
          <w:rFonts w:hint="eastAsia" w:ascii="仿宋" w:hAnsi="仿宋" w:eastAsia="仿宋" w:cs="仿宋"/>
        </w:rPr>
        <w:t>。</w:t>
      </w:r>
    </w:p>
    <w:p w14:paraId="6386EEC9">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三、评审方法与评审标准</w:t>
      </w:r>
    </w:p>
    <w:p w14:paraId="6635433F">
      <w:pPr>
        <w:pStyle w:val="12"/>
        <w:ind w:firstLine="480"/>
        <w:rPr>
          <w:rFonts w:ascii="仿宋" w:hAnsi="仿宋" w:eastAsia="仿宋" w:cs="仿宋"/>
          <w:sz w:val="24"/>
          <w:szCs w:val="24"/>
        </w:rPr>
      </w:pPr>
      <w:r>
        <w:rPr>
          <w:rFonts w:hint="eastAsia" w:ascii="仿宋" w:hAnsi="仿宋" w:eastAsia="仿宋" w:cs="仿宋"/>
          <w:sz w:val="24"/>
          <w:szCs w:val="24"/>
        </w:rPr>
        <w:t>本项目采用综合评分法，磋商小组将按下列评审方法与评审标准进行评分，总分值为100分。</w:t>
      </w:r>
    </w:p>
    <w:tbl>
      <w:tblPr>
        <w:tblStyle w:val="13"/>
        <w:tblpPr w:leftFromText="180" w:rightFromText="180" w:vertAnchor="text" w:horzAnchor="page" w:tblpX="1051" w:tblpY="528"/>
        <w:tblOverlap w:val="never"/>
        <w:tblW w:w="9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1508"/>
        <w:gridCol w:w="1520"/>
        <w:gridCol w:w="5389"/>
        <w:gridCol w:w="792"/>
      </w:tblGrid>
      <w:tr w14:paraId="4A8CB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blHeader/>
        </w:trPr>
        <w:tc>
          <w:tcPr>
            <w:tcW w:w="665" w:type="dxa"/>
            <w:shd w:val="clear" w:color="auto" w:fill="BFBFBF"/>
            <w:vAlign w:val="center"/>
          </w:tcPr>
          <w:p w14:paraId="120E6FC0">
            <w:pPr>
              <w:jc w:val="center"/>
              <w:rPr>
                <w:rFonts w:ascii="仿宋" w:hAnsi="仿宋" w:eastAsia="仿宋" w:cs="仿宋"/>
                <w:b/>
                <w:bCs/>
                <w:sz w:val="22"/>
              </w:rPr>
            </w:pPr>
            <w:r>
              <w:rPr>
                <w:rFonts w:hint="eastAsia" w:ascii="仿宋" w:hAnsi="仿宋" w:eastAsia="仿宋" w:cs="仿宋"/>
                <w:b/>
                <w:bCs/>
                <w:sz w:val="22"/>
              </w:rPr>
              <w:t>序号</w:t>
            </w:r>
          </w:p>
        </w:tc>
        <w:tc>
          <w:tcPr>
            <w:tcW w:w="1508" w:type="dxa"/>
            <w:shd w:val="clear" w:color="auto" w:fill="BFBFBF"/>
            <w:vAlign w:val="center"/>
          </w:tcPr>
          <w:p w14:paraId="4AB89E7E">
            <w:pPr>
              <w:jc w:val="center"/>
              <w:rPr>
                <w:rFonts w:ascii="仿宋" w:hAnsi="仿宋" w:eastAsia="仿宋" w:cs="仿宋"/>
                <w:b/>
                <w:bCs/>
                <w:sz w:val="22"/>
              </w:rPr>
            </w:pPr>
            <w:r>
              <w:rPr>
                <w:rFonts w:hint="eastAsia" w:ascii="仿宋" w:hAnsi="仿宋" w:eastAsia="仿宋" w:cs="仿宋"/>
                <w:b/>
                <w:bCs/>
                <w:sz w:val="22"/>
              </w:rPr>
              <w:t>评分因素</w:t>
            </w:r>
          </w:p>
        </w:tc>
        <w:tc>
          <w:tcPr>
            <w:tcW w:w="6909" w:type="dxa"/>
            <w:gridSpan w:val="2"/>
            <w:shd w:val="clear" w:color="auto" w:fill="BFBFBF"/>
            <w:vAlign w:val="center"/>
          </w:tcPr>
          <w:p w14:paraId="297A122C">
            <w:pPr>
              <w:jc w:val="center"/>
              <w:rPr>
                <w:rFonts w:ascii="仿宋" w:hAnsi="仿宋" w:eastAsia="仿宋" w:cs="仿宋"/>
                <w:b/>
                <w:bCs/>
                <w:sz w:val="22"/>
              </w:rPr>
            </w:pPr>
            <w:r>
              <w:rPr>
                <w:rFonts w:hint="eastAsia" w:ascii="仿宋" w:hAnsi="仿宋" w:eastAsia="仿宋" w:cs="仿宋"/>
                <w:b/>
                <w:bCs/>
                <w:sz w:val="22"/>
              </w:rPr>
              <w:t>评分标准</w:t>
            </w:r>
          </w:p>
        </w:tc>
        <w:tc>
          <w:tcPr>
            <w:tcW w:w="792" w:type="dxa"/>
            <w:shd w:val="clear" w:color="auto" w:fill="BFBFBF"/>
            <w:vAlign w:val="center"/>
          </w:tcPr>
          <w:p w14:paraId="60F4EC37">
            <w:pPr>
              <w:jc w:val="center"/>
              <w:rPr>
                <w:rFonts w:ascii="仿宋" w:hAnsi="仿宋" w:eastAsia="仿宋" w:cs="仿宋"/>
                <w:b/>
                <w:bCs/>
                <w:sz w:val="22"/>
              </w:rPr>
            </w:pPr>
            <w:r>
              <w:rPr>
                <w:rFonts w:hint="eastAsia" w:ascii="仿宋" w:hAnsi="仿宋" w:eastAsia="仿宋" w:cs="仿宋"/>
                <w:b/>
                <w:bCs/>
                <w:sz w:val="22"/>
              </w:rPr>
              <w:t>分值</w:t>
            </w:r>
          </w:p>
        </w:tc>
      </w:tr>
      <w:tr w14:paraId="0E262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665" w:type="dxa"/>
            <w:vAlign w:val="center"/>
          </w:tcPr>
          <w:p w14:paraId="16B17CBF">
            <w:pPr>
              <w:jc w:val="center"/>
              <w:rPr>
                <w:rFonts w:ascii="仿宋" w:hAnsi="仿宋" w:eastAsia="仿宋" w:cs="仿宋"/>
                <w:sz w:val="22"/>
              </w:rPr>
            </w:pPr>
            <w:r>
              <w:rPr>
                <w:rFonts w:hint="eastAsia" w:ascii="仿宋" w:hAnsi="仿宋" w:eastAsia="仿宋" w:cs="仿宋"/>
                <w:sz w:val="22"/>
              </w:rPr>
              <w:t>1</w:t>
            </w:r>
          </w:p>
        </w:tc>
        <w:tc>
          <w:tcPr>
            <w:tcW w:w="1508" w:type="dxa"/>
            <w:vAlign w:val="center"/>
          </w:tcPr>
          <w:p w14:paraId="4F7EA7EC">
            <w:pPr>
              <w:jc w:val="center"/>
              <w:rPr>
                <w:rFonts w:ascii="仿宋" w:hAnsi="仿宋" w:eastAsia="仿宋" w:cs="仿宋"/>
                <w:sz w:val="22"/>
              </w:rPr>
            </w:pPr>
            <w:r>
              <w:rPr>
                <w:rFonts w:hint="eastAsia" w:ascii="仿宋" w:hAnsi="仿宋" w:eastAsia="仿宋" w:cs="仿宋"/>
                <w:sz w:val="22"/>
              </w:rPr>
              <w:t>价格分（10分）</w:t>
            </w:r>
          </w:p>
        </w:tc>
        <w:tc>
          <w:tcPr>
            <w:tcW w:w="6909" w:type="dxa"/>
            <w:gridSpan w:val="2"/>
            <w:vAlign w:val="center"/>
          </w:tcPr>
          <w:p w14:paraId="38068F3F">
            <w:pPr>
              <w:jc w:val="left"/>
              <w:rPr>
                <w:rFonts w:ascii="仿宋" w:hAnsi="仿宋" w:eastAsia="仿宋" w:cs="仿宋"/>
                <w:color w:val="000000"/>
                <w:szCs w:val="21"/>
              </w:rPr>
            </w:pPr>
            <w:r>
              <w:rPr>
                <w:rFonts w:hint="eastAsia" w:ascii="仿宋" w:hAnsi="仿宋" w:eastAsia="仿宋" w:cs="仿宋"/>
                <w:color w:val="000000"/>
                <w:szCs w:val="21"/>
              </w:rPr>
              <w:t>价格分统一采用低价优先法计算，即满足磋商文件要求且最后报价最低的供应商的价格为磋商基准价，其价格分为满分。其他供应商的价格分统一按照下列公式计算：</w:t>
            </w:r>
          </w:p>
          <w:p w14:paraId="7787D8A8">
            <w:pPr>
              <w:rPr>
                <w:rFonts w:ascii="仿宋" w:hAnsi="仿宋" w:eastAsia="仿宋" w:cs="仿宋"/>
                <w:sz w:val="22"/>
              </w:rPr>
            </w:pPr>
            <w:r>
              <w:rPr>
                <w:rFonts w:hint="eastAsia" w:ascii="仿宋" w:hAnsi="仿宋" w:eastAsia="仿宋" w:cs="仿宋"/>
                <w:color w:val="000000"/>
                <w:szCs w:val="21"/>
              </w:rPr>
              <w:t>磋商报价得分=（磋商基准价/最后磋商报价）×价格权值×100</w:t>
            </w:r>
          </w:p>
        </w:tc>
        <w:tc>
          <w:tcPr>
            <w:tcW w:w="792" w:type="dxa"/>
            <w:vAlign w:val="center"/>
          </w:tcPr>
          <w:p w14:paraId="138E6E5B">
            <w:pPr>
              <w:jc w:val="center"/>
              <w:rPr>
                <w:rFonts w:ascii="仿宋" w:hAnsi="仿宋" w:eastAsia="仿宋" w:cs="仿宋"/>
                <w:sz w:val="22"/>
              </w:rPr>
            </w:pPr>
            <w:r>
              <w:rPr>
                <w:rFonts w:hint="eastAsia" w:ascii="仿宋" w:hAnsi="仿宋" w:eastAsia="仿宋" w:cs="仿宋"/>
                <w:sz w:val="22"/>
              </w:rPr>
              <w:t>10分</w:t>
            </w:r>
          </w:p>
        </w:tc>
      </w:tr>
      <w:tr w14:paraId="698B3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restart"/>
            <w:vAlign w:val="center"/>
          </w:tcPr>
          <w:p w14:paraId="018264BC">
            <w:pPr>
              <w:jc w:val="center"/>
              <w:rPr>
                <w:rFonts w:ascii="仿宋" w:hAnsi="仿宋" w:eastAsia="仿宋" w:cs="仿宋"/>
                <w:sz w:val="22"/>
              </w:rPr>
            </w:pPr>
            <w:r>
              <w:rPr>
                <w:rFonts w:hint="eastAsia" w:ascii="仿宋" w:hAnsi="仿宋" w:eastAsia="仿宋" w:cs="仿宋"/>
                <w:sz w:val="22"/>
              </w:rPr>
              <w:t>2</w:t>
            </w:r>
          </w:p>
        </w:tc>
        <w:tc>
          <w:tcPr>
            <w:tcW w:w="1508" w:type="dxa"/>
            <w:vMerge w:val="restart"/>
            <w:vAlign w:val="center"/>
          </w:tcPr>
          <w:p w14:paraId="5F691EB3">
            <w:pPr>
              <w:jc w:val="center"/>
              <w:rPr>
                <w:rFonts w:ascii="仿宋" w:hAnsi="仿宋" w:eastAsia="仿宋" w:cs="仿宋"/>
                <w:sz w:val="22"/>
              </w:rPr>
            </w:pPr>
            <w:r>
              <w:rPr>
                <w:rFonts w:hint="eastAsia" w:ascii="仿宋" w:hAnsi="仿宋" w:eastAsia="仿宋" w:cs="仿宋"/>
                <w:color w:val="000000"/>
                <w:kern w:val="0"/>
                <w:sz w:val="22"/>
                <w:lang w:bidi="ar"/>
              </w:rPr>
              <w:t>技术部分（65分）</w:t>
            </w:r>
          </w:p>
        </w:tc>
        <w:tc>
          <w:tcPr>
            <w:tcW w:w="1520" w:type="dxa"/>
            <w:tcBorders>
              <w:bottom w:val="single" w:color="auto" w:sz="4" w:space="0"/>
              <w:right w:val="single" w:color="auto" w:sz="4" w:space="0"/>
            </w:tcBorders>
            <w:shd w:val="clear" w:color="auto" w:fill="FFFFFF" w:themeFill="background1"/>
            <w:vAlign w:val="center"/>
          </w:tcPr>
          <w:p w14:paraId="107F9A3E">
            <w:pPr>
              <w:jc w:val="center"/>
              <w:rPr>
                <w:rFonts w:ascii="仿宋" w:hAnsi="仿宋" w:eastAsia="仿宋" w:cs="仿宋"/>
                <w:color w:val="000000"/>
                <w:szCs w:val="21"/>
              </w:rPr>
            </w:pPr>
            <w:r>
              <w:rPr>
                <w:rFonts w:hint="eastAsia" w:ascii="仿宋" w:hAnsi="仿宋" w:eastAsia="仿宋" w:cs="仿宋"/>
                <w:color w:val="000000"/>
                <w:szCs w:val="21"/>
              </w:rPr>
              <w:t>项目需求分析方案</w:t>
            </w:r>
          </w:p>
          <w:p w14:paraId="33E5C70A">
            <w:pPr>
              <w:jc w:val="center"/>
              <w:rPr>
                <w:rFonts w:ascii="仿宋" w:hAnsi="仿宋" w:eastAsia="仿宋" w:cs="仿宋"/>
                <w:color w:val="000000"/>
                <w:szCs w:val="21"/>
              </w:rPr>
            </w:pPr>
            <w:r>
              <w:rPr>
                <w:rFonts w:hint="eastAsia" w:ascii="仿宋" w:hAnsi="仿宋" w:eastAsia="仿宋" w:cs="仿宋"/>
                <w:color w:val="000000"/>
                <w:szCs w:val="21"/>
              </w:rPr>
              <w:t>（15分）</w:t>
            </w:r>
          </w:p>
        </w:tc>
        <w:tc>
          <w:tcPr>
            <w:tcW w:w="5389" w:type="dxa"/>
            <w:tcBorders>
              <w:left w:val="single" w:color="auto" w:sz="4" w:space="0"/>
              <w:bottom w:val="single" w:color="auto" w:sz="4" w:space="0"/>
            </w:tcBorders>
            <w:shd w:val="clear" w:color="auto" w:fill="FFFFFF" w:themeFill="background1"/>
            <w:vAlign w:val="center"/>
          </w:tcPr>
          <w:p w14:paraId="3203B093">
            <w:pPr>
              <w:pStyle w:val="2"/>
            </w:pPr>
            <w:r>
              <w:rPr>
                <w:rFonts w:hint="eastAsia" w:ascii="仿宋" w:hAnsi="仿宋" w:eastAsia="仿宋" w:cs="仿宋"/>
                <w:color w:val="000000"/>
                <w:kern w:val="2"/>
                <w:sz w:val="21"/>
                <w:szCs w:val="21"/>
                <w:lang w:val="en-US" w:eastAsia="zh-CN" w:bidi="ar-SA"/>
              </w:rPr>
              <w:t>供应商提供的项目需求分析方案将依据以下量化标准进行评分：方案必须完整涵盖整体设计思路、功能需求分析、项目背景理解、项目文件要求四项核心要素。在此基础上，将根据各要素的关键指标情况进行综合评价：四项要素全部涵盖，且整体设计思路包含具体实施路径与步骤说明、功能需求分析明确列出关键功能点及其优先级、项目背景理解准确引用项目关联的背景信息与数据支撑、项目文件要求清晰列出交付物清单及具体格式规范，得15分；涵盖全部四项核心要素，但其中一项的关键指标说明不完整或不具体，或漏缺1项核心要素但其余三项的关键指标均完整的，得10分；漏缺2项核心要素，或虽涵盖全部要素但有两项的关键指标存在明显缺失或描述笼统的，得6分；仅涵盖1项核心要素，或所提供内容存在显著缺陷、关键信息严重缺失的，得1分；未提供方案的得0分。</w:t>
            </w:r>
          </w:p>
        </w:tc>
        <w:tc>
          <w:tcPr>
            <w:tcW w:w="792" w:type="dxa"/>
            <w:tcBorders>
              <w:bottom w:val="single" w:color="auto" w:sz="4" w:space="0"/>
            </w:tcBorders>
            <w:vAlign w:val="center"/>
          </w:tcPr>
          <w:p w14:paraId="41DDB68F">
            <w:pPr>
              <w:jc w:val="center"/>
              <w:rPr>
                <w:rFonts w:ascii="仿宋" w:hAnsi="仿宋" w:eastAsia="仿宋" w:cs="仿宋"/>
                <w:sz w:val="22"/>
              </w:rPr>
            </w:pPr>
            <w:r>
              <w:rPr>
                <w:rFonts w:hint="eastAsia" w:ascii="仿宋" w:hAnsi="仿宋" w:eastAsia="仿宋" w:cs="仿宋"/>
                <w:sz w:val="22"/>
              </w:rPr>
              <w:t>15分</w:t>
            </w:r>
          </w:p>
        </w:tc>
      </w:tr>
      <w:tr w14:paraId="5CE75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13F88B56">
            <w:pPr>
              <w:jc w:val="center"/>
              <w:rPr>
                <w:rFonts w:ascii="仿宋" w:hAnsi="仿宋" w:eastAsia="仿宋" w:cs="仿宋"/>
                <w:sz w:val="22"/>
              </w:rPr>
            </w:pPr>
          </w:p>
        </w:tc>
        <w:tc>
          <w:tcPr>
            <w:tcW w:w="1508" w:type="dxa"/>
            <w:vMerge w:val="continue"/>
            <w:vAlign w:val="center"/>
          </w:tcPr>
          <w:p w14:paraId="5D39335C">
            <w:pPr>
              <w:jc w:val="center"/>
              <w:rPr>
                <w:rFonts w:ascii="仿宋" w:hAnsi="仿宋" w:eastAsia="仿宋" w:cs="仿宋"/>
                <w:sz w:val="22"/>
              </w:rPr>
            </w:pPr>
          </w:p>
        </w:tc>
        <w:tc>
          <w:tcPr>
            <w:tcW w:w="1520" w:type="dxa"/>
            <w:tcBorders>
              <w:top w:val="single" w:color="auto" w:sz="4" w:space="0"/>
              <w:right w:val="single" w:color="auto" w:sz="4" w:space="0"/>
            </w:tcBorders>
            <w:shd w:val="clear" w:color="auto" w:fill="FFFFFF" w:themeFill="background1"/>
            <w:vAlign w:val="center"/>
          </w:tcPr>
          <w:p w14:paraId="29A785CA">
            <w:pPr>
              <w:jc w:val="center"/>
              <w:rPr>
                <w:rFonts w:ascii="仿宋" w:hAnsi="仿宋" w:eastAsia="仿宋" w:cs="仿宋"/>
                <w:color w:val="000000"/>
                <w:szCs w:val="21"/>
              </w:rPr>
            </w:pPr>
            <w:r>
              <w:rPr>
                <w:rFonts w:hint="eastAsia" w:ascii="仿宋" w:hAnsi="仿宋" w:eastAsia="仿宋" w:cs="仿宋"/>
                <w:color w:val="000000"/>
                <w:szCs w:val="21"/>
              </w:rPr>
              <w:t>项目建设</w:t>
            </w:r>
            <w:r>
              <w:rPr>
                <w:rFonts w:hint="eastAsia" w:ascii="仿宋" w:hAnsi="仿宋" w:eastAsia="仿宋" w:cs="仿宋"/>
                <w:color w:val="000000"/>
                <w:szCs w:val="21"/>
                <w:lang w:val="zh-CN"/>
              </w:rPr>
              <w:t>方案（</w:t>
            </w:r>
            <w:r>
              <w:rPr>
                <w:rFonts w:hint="eastAsia" w:ascii="仿宋" w:hAnsi="仿宋" w:eastAsia="仿宋" w:cs="仿宋"/>
                <w:color w:val="000000"/>
                <w:szCs w:val="21"/>
              </w:rPr>
              <w:t>20分</w:t>
            </w:r>
            <w:r>
              <w:rPr>
                <w:rFonts w:hint="eastAsia" w:ascii="仿宋" w:hAnsi="仿宋" w:eastAsia="仿宋" w:cs="仿宋"/>
                <w:color w:val="000000"/>
                <w:szCs w:val="21"/>
                <w:lang w:val="zh-CN"/>
              </w:rPr>
              <w:t>）</w:t>
            </w:r>
          </w:p>
        </w:tc>
        <w:tc>
          <w:tcPr>
            <w:tcW w:w="5389" w:type="dxa"/>
            <w:tcBorders>
              <w:top w:val="single" w:color="auto" w:sz="4" w:space="0"/>
              <w:left w:val="single" w:color="auto" w:sz="4" w:space="0"/>
            </w:tcBorders>
            <w:shd w:val="clear" w:color="auto" w:fill="FFFFFF" w:themeFill="background1"/>
          </w:tcPr>
          <w:p w14:paraId="4C4A916C">
            <w:pPr>
              <w:pStyle w:val="2"/>
            </w:pPr>
            <w:r>
              <w:rPr>
                <w:rFonts w:hint="eastAsia" w:ascii="仿宋" w:hAnsi="仿宋" w:eastAsia="仿宋" w:cs="仿宋"/>
                <w:color w:val="000000"/>
                <w:kern w:val="2"/>
                <w:sz w:val="21"/>
                <w:szCs w:val="21"/>
                <w:lang w:val="en-US" w:eastAsia="zh-CN" w:bidi="ar-SA"/>
              </w:rPr>
              <w:t>供应商提供的项目建设方案将依据以下量化标准进行评分：方案必须完整涵盖技术架构设计、功能模块建设、项目实施保障、扩展伸缩性四项核心要素。在此基础上，将根据各要素的关键指标完成情况进行综合评价：四项要素全部涵盖，且技术架构设计明确说明所采用的架构模式、关键技术选型及具体理由，功能模块建设详细列出主要模块、其功能描述及模块间关联关系，项目实施保障包含具体的人员分工与进度计划与应对措施，扩展伸缩性明确阐述未来容量扩展策略、性能指标及弹性方案的，得20分；涵盖全部四项核心要素，但其中一项的关键指标说明不完整或不够具体，或漏缺1项核心要素但其余三项的关键指标均完整明确的，得15分；漏缺2项核心要素，或虽涵盖全部要素但有两项的关键指标存在明显缺失或描述笼统的，得7分；仅涵盖1项核心要素，或所提供内容存在显著缺陷、关键信息严重缺失的，得1分；未提供方案的得0分。</w:t>
            </w:r>
          </w:p>
        </w:tc>
        <w:tc>
          <w:tcPr>
            <w:tcW w:w="792" w:type="dxa"/>
            <w:tcBorders>
              <w:top w:val="single" w:color="auto" w:sz="4" w:space="0"/>
            </w:tcBorders>
            <w:vAlign w:val="center"/>
          </w:tcPr>
          <w:p w14:paraId="19C7FC87">
            <w:pPr>
              <w:jc w:val="center"/>
              <w:rPr>
                <w:rFonts w:ascii="仿宋" w:hAnsi="仿宋" w:eastAsia="仿宋" w:cs="仿宋"/>
                <w:sz w:val="22"/>
              </w:rPr>
            </w:pPr>
            <w:r>
              <w:rPr>
                <w:rFonts w:hint="eastAsia" w:ascii="仿宋" w:hAnsi="仿宋" w:eastAsia="仿宋" w:cs="仿宋"/>
                <w:sz w:val="22"/>
              </w:rPr>
              <w:t>20分</w:t>
            </w:r>
          </w:p>
        </w:tc>
      </w:tr>
      <w:tr w14:paraId="1C0B7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11FCF008">
            <w:pPr>
              <w:jc w:val="center"/>
              <w:rPr>
                <w:rFonts w:ascii="仿宋" w:hAnsi="仿宋" w:eastAsia="仿宋" w:cs="仿宋"/>
                <w:sz w:val="22"/>
              </w:rPr>
            </w:pPr>
          </w:p>
        </w:tc>
        <w:tc>
          <w:tcPr>
            <w:tcW w:w="1508" w:type="dxa"/>
            <w:vMerge w:val="continue"/>
            <w:vAlign w:val="center"/>
          </w:tcPr>
          <w:p w14:paraId="071395BE">
            <w:pPr>
              <w:jc w:val="center"/>
              <w:rPr>
                <w:rFonts w:ascii="仿宋" w:hAnsi="仿宋" w:eastAsia="仿宋" w:cs="仿宋"/>
                <w:sz w:val="22"/>
              </w:rPr>
            </w:pPr>
          </w:p>
        </w:tc>
        <w:tc>
          <w:tcPr>
            <w:tcW w:w="1520" w:type="dxa"/>
            <w:tcBorders>
              <w:top w:val="single" w:color="auto" w:sz="4" w:space="0"/>
              <w:right w:val="single" w:color="auto" w:sz="4" w:space="0"/>
            </w:tcBorders>
            <w:shd w:val="clear" w:color="auto" w:fill="FFFFFF" w:themeFill="background1"/>
            <w:vAlign w:val="center"/>
          </w:tcPr>
          <w:p w14:paraId="5B089DD7">
            <w:pPr>
              <w:jc w:val="center"/>
              <w:rPr>
                <w:rFonts w:ascii="仿宋" w:hAnsi="仿宋" w:eastAsia="仿宋" w:cs="仿宋"/>
                <w:color w:val="000000"/>
                <w:szCs w:val="21"/>
              </w:rPr>
            </w:pPr>
            <w:r>
              <w:rPr>
                <w:rFonts w:hint="eastAsia" w:ascii="仿宋" w:hAnsi="仿宋" w:eastAsia="仿宋" w:cs="仿宋"/>
                <w:color w:val="000000"/>
                <w:szCs w:val="21"/>
              </w:rPr>
              <w:t>对接集成方案</w:t>
            </w:r>
          </w:p>
          <w:p w14:paraId="4CA6AF6C">
            <w:pPr>
              <w:jc w:val="center"/>
              <w:rPr>
                <w:rFonts w:ascii="仿宋" w:hAnsi="仿宋" w:eastAsia="仿宋" w:cs="仿宋"/>
                <w:color w:val="000000"/>
                <w:szCs w:val="21"/>
              </w:rPr>
            </w:pPr>
            <w:r>
              <w:rPr>
                <w:rFonts w:hint="eastAsia" w:ascii="仿宋" w:hAnsi="仿宋" w:eastAsia="仿宋" w:cs="仿宋"/>
                <w:color w:val="000000"/>
                <w:szCs w:val="21"/>
              </w:rPr>
              <w:t>（16分）</w:t>
            </w:r>
          </w:p>
        </w:tc>
        <w:tc>
          <w:tcPr>
            <w:tcW w:w="5389" w:type="dxa"/>
            <w:tcBorders>
              <w:top w:val="single" w:color="auto" w:sz="4" w:space="0"/>
              <w:left w:val="single" w:color="auto" w:sz="4" w:space="0"/>
            </w:tcBorders>
            <w:shd w:val="clear" w:color="auto" w:fill="FFFFFF" w:themeFill="background1"/>
            <w:vAlign w:val="center"/>
          </w:tcPr>
          <w:p w14:paraId="31D22AD5">
            <w:pPr>
              <w:jc w:val="left"/>
              <w:rPr>
                <w:lang w:val="zh-CN"/>
              </w:rPr>
            </w:pPr>
            <w:r>
              <w:rPr>
                <w:rFonts w:hint="eastAsia" w:ascii="仿宋" w:hAnsi="仿宋" w:eastAsia="仿宋" w:cs="仿宋"/>
                <w:color w:val="000000"/>
                <w:kern w:val="2"/>
                <w:sz w:val="21"/>
                <w:szCs w:val="21"/>
                <w:lang w:val="zh-CN" w:eastAsia="zh-CN" w:bidi="ar-SA"/>
              </w:rPr>
              <w:t>供应商提供的对接集成方案将依据以下量化标准进行评分：评审将以方案对江苏省一体化政务服务平台多端低代码系统及“苏服办”App现有技术架构的阐述准确性，以及对鸿蒙改造标准与实施路径说明的完整性与可操作性为核心依据。方案需清晰阐述两个系统的技术架构核心要点，并完整说明鸿蒙改造的关键要求与实施方法。具体评分如下：方案能准确、完整地解析两个系统的技术架构与交互逻辑，并对鸿蒙改造的标准、适配范围进行全面说明，同时提供包含具体步骤、时间节点、兼容性测试方案的完整实施路径的，得16分；方案能正确说明系统架构与改造要求的主要方面，但在部分技术细节的准确性或实施路径的具体环节上存在不足的，得9分；方案仅对系统架构或改造要求进行泛泛描述，存在关键信息缺失或明显理解偏差，且实施路径描述笼统、缺乏可操作细节的，得2分；未提供方案的得0分。</w:t>
            </w:r>
          </w:p>
        </w:tc>
        <w:tc>
          <w:tcPr>
            <w:tcW w:w="792" w:type="dxa"/>
            <w:tcBorders>
              <w:top w:val="single" w:color="auto" w:sz="4" w:space="0"/>
            </w:tcBorders>
            <w:vAlign w:val="center"/>
          </w:tcPr>
          <w:p w14:paraId="0ECC0CEC">
            <w:pPr>
              <w:jc w:val="center"/>
              <w:rPr>
                <w:rFonts w:ascii="仿宋" w:hAnsi="仿宋" w:eastAsia="仿宋" w:cs="仿宋"/>
                <w:sz w:val="22"/>
              </w:rPr>
            </w:pPr>
            <w:r>
              <w:rPr>
                <w:rFonts w:hint="eastAsia" w:ascii="仿宋" w:hAnsi="仿宋" w:eastAsia="仿宋" w:cs="仿宋"/>
                <w:sz w:val="22"/>
              </w:rPr>
              <w:t>16分</w:t>
            </w:r>
          </w:p>
        </w:tc>
      </w:tr>
      <w:tr w14:paraId="60366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020F9EA2">
            <w:pPr>
              <w:jc w:val="center"/>
              <w:rPr>
                <w:rFonts w:ascii="仿宋" w:hAnsi="仿宋" w:eastAsia="仿宋" w:cs="仿宋"/>
                <w:sz w:val="22"/>
              </w:rPr>
            </w:pPr>
          </w:p>
        </w:tc>
        <w:tc>
          <w:tcPr>
            <w:tcW w:w="1508" w:type="dxa"/>
            <w:vMerge w:val="continue"/>
            <w:vAlign w:val="center"/>
          </w:tcPr>
          <w:p w14:paraId="4FB4A96C">
            <w:pPr>
              <w:jc w:val="center"/>
              <w:rPr>
                <w:rFonts w:ascii="仿宋" w:hAnsi="仿宋" w:eastAsia="仿宋" w:cs="仿宋"/>
                <w:sz w:val="22"/>
              </w:rPr>
            </w:pPr>
          </w:p>
        </w:tc>
        <w:tc>
          <w:tcPr>
            <w:tcW w:w="1520" w:type="dxa"/>
            <w:tcBorders>
              <w:top w:val="single" w:color="auto" w:sz="4" w:space="0"/>
              <w:right w:val="single" w:color="auto" w:sz="4" w:space="0"/>
            </w:tcBorders>
            <w:shd w:val="clear" w:color="auto" w:fill="FFFFFF" w:themeFill="background1"/>
            <w:vAlign w:val="center"/>
          </w:tcPr>
          <w:p w14:paraId="4C109E57">
            <w:pPr>
              <w:jc w:val="center"/>
              <w:rPr>
                <w:rFonts w:ascii="仿宋" w:hAnsi="仿宋" w:eastAsia="仿宋" w:cs="仿宋"/>
                <w:color w:val="000000"/>
                <w:szCs w:val="21"/>
                <w:lang w:val="zh-CN"/>
              </w:rPr>
            </w:pPr>
            <w:r>
              <w:rPr>
                <w:rFonts w:hint="eastAsia" w:ascii="仿宋" w:hAnsi="仿宋" w:eastAsia="仿宋" w:cs="仿宋"/>
                <w:color w:val="000000"/>
                <w:szCs w:val="21"/>
              </w:rPr>
              <w:t>项目</w:t>
            </w:r>
            <w:r>
              <w:rPr>
                <w:rFonts w:hint="eastAsia" w:ascii="仿宋" w:hAnsi="仿宋" w:eastAsia="仿宋" w:cs="仿宋"/>
                <w:color w:val="000000"/>
                <w:szCs w:val="21"/>
                <w:lang w:val="zh-CN"/>
              </w:rPr>
              <w:t>培训方案</w:t>
            </w:r>
          </w:p>
          <w:p w14:paraId="66BD7896">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lang w:val="zh-CN"/>
              </w:rPr>
              <w:t>（</w:t>
            </w:r>
            <w:r>
              <w:rPr>
                <w:rFonts w:hint="eastAsia" w:ascii="仿宋" w:hAnsi="仿宋" w:eastAsia="仿宋" w:cs="仿宋"/>
                <w:color w:val="000000"/>
                <w:szCs w:val="21"/>
              </w:rPr>
              <w:t>7</w:t>
            </w:r>
            <w:r>
              <w:rPr>
                <w:rFonts w:hint="eastAsia" w:ascii="仿宋" w:hAnsi="仿宋" w:eastAsia="仿宋" w:cs="仿宋"/>
                <w:color w:val="000000"/>
                <w:szCs w:val="21"/>
                <w:lang w:val="zh-CN"/>
              </w:rPr>
              <w:t>分）</w:t>
            </w:r>
          </w:p>
        </w:tc>
        <w:tc>
          <w:tcPr>
            <w:tcW w:w="5389" w:type="dxa"/>
            <w:tcBorders>
              <w:top w:val="single" w:color="auto" w:sz="4" w:space="0"/>
              <w:left w:val="single" w:color="auto" w:sz="4" w:space="0"/>
            </w:tcBorders>
            <w:shd w:val="clear" w:color="auto" w:fill="FFFFFF" w:themeFill="background1"/>
            <w:vAlign w:val="center"/>
          </w:tcPr>
          <w:p w14:paraId="5077E5B0">
            <w:pPr>
              <w:pStyle w:val="25"/>
            </w:pPr>
            <w:r>
              <w:rPr>
                <w:rFonts w:hint="eastAsia" w:ascii="仿宋" w:hAnsi="仿宋" w:eastAsia="仿宋" w:cs="仿宋"/>
                <w:color w:val="000000"/>
                <w:kern w:val="2"/>
                <w:sz w:val="21"/>
                <w:szCs w:val="21"/>
                <w:lang w:val="zh-CN" w:eastAsia="zh-CN" w:bidi="ar-SA"/>
              </w:rPr>
              <w:t>供应商提供的项目培训方案将依据以下量化标准进行评分：方案需全面涵盖培训计划、</w:t>
            </w:r>
            <w:r>
              <w:rPr>
                <w:rFonts w:hint="eastAsia" w:ascii="仿宋" w:hAnsi="仿宋" w:eastAsia="仿宋" w:cs="仿宋"/>
                <w:color w:val="000000"/>
                <w:kern w:val="2"/>
                <w:sz w:val="21"/>
                <w:szCs w:val="21"/>
                <w:lang w:val="en-US" w:eastAsia="zh-CN" w:bidi="ar-SA"/>
              </w:rPr>
              <w:t>培训</w:t>
            </w:r>
            <w:r>
              <w:rPr>
                <w:rFonts w:hint="eastAsia" w:ascii="仿宋" w:hAnsi="仿宋" w:eastAsia="仿宋" w:cs="仿宋"/>
                <w:color w:val="000000"/>
                <w:kern w:val="2"/>
                <w:sz w:val="21"/>
                <w:szCs w:val="21"/>
                <w:lang w:val="zh-CN" w:eastAsia="zh-CN" w:bidi="ar-SA"/>
              </w:rPr>
              <w:t>目标、</w:t>
            </w:r>
            <w:r>
              <w:rPr>
                <w:rFonts w:hint="eastAsia" w:ascii="仿宋" w:hAnsi="仿宋" w:eastAsia="仿宋" w:cs="仿宋"/>
                <w:color w:val="000000"/>
                <w:kern w:val="2"/>
                <w:sz w:val="21"/>
                <w:szCs w:val="21"/>
                <w:lang w:val="en-US" w:eastAsia="zh-CN" w:bidi="ar-SA"/>
              </w:rPr>
              <w:t>培训</w:t>
            </w:r>
            <w:r>
              <w:rPr>
                <w:rFonts w:hint="eastAsia" w:ascii="仿宋" w:hAnsi="仿宋" w:eastAsia="仿宋" w:cs="仿宋"/>
                <w:color w:val="000000"/>
                <w:kern w:val="2"/>
                <w:sz w:val="21"/>
                <w:szCs w:val="21"/>
                <w:lang w:val="zh-CN" w:eastAsia="zh-CN" w:bidi="ar-SA"/>
              </w:rPr>
              <w:t>师资、</w:t>
            </w:r>
            <w:r>
              <w:rPr>
                <w:rFonts w:hint="eastAsia" w:ascii="仿宋" w:hAnsi="仿宋" w:eastAsia="仿宋" w:cs="仿宋"/>
                <w:color w:val="000000"/>
                <w:kern w:val="2"/>
                <w:sz w:val="21"/>
                <w:szCs w:val="21"/>
                <w:lang w:val="en-US" w:eastAsia="zh-CN" w:bidi="ar-SA"/>
              </w:rPr>
              <w:t>培训</w:t>
            </w:r>
            <w:r>
              <w:rPr>
                <w:rFonts w:hint="eastAsia" w:ascii="仿宋" w:hAnsi="仿宋" w:eastAsia="仿宋" w:cs="仿宋"/>
                <w:color w:val="000000"/>
                <w:kern w:val="2"/>
                <w:sz w:val="21"/>
                <w:szCs w:val="21"/>
                <w:lang w:val="zh-CN" w:eastAsia="zh-CN" w:bidi="ar-SA"/>
              </w:rPr>
              <w:t>内容等</w:t>
            </w:r>
            <w:r>
              <w:rPr>
                <w:rFonts w:hint="eastAsia" w:ascii="仿宋" w:hAnsi="仿宋" w:eastAsia="仿宋" w:cs="仿宋"/>
                <w:color w:val="000000"/>
                <w:kern w:val="2"/>
                <w:sz w:val="21"/>
                <w:szCs w:val="21"/>
                <w:lang w:val="en-US" w:eastAsia="zh-CN" w:bidi="ar-SA"/>
              </w:rPr>
              <w:t>核心</w:t>
            </w:r>
            <w:r>
              <w:rPr>
                <w:rFonts w:hint="eastAsia" w:ascii="仿宋" w:hAnsi="仿宋" w:eastAsia="仿宋" w:cs="仿宋"/>
                <w:color w:val="000000"/>
                <w:kern w:val="2"/>
                <w:sz w:val="21"/>
                <w:szCs w:val="21"/>
                <w:lang w:val="zh-CN" w:eastAsia="zh-CN" w:bidi="ar-SA"/>
              </w:rPr>
              <w:t>要素，且各部分应包含明确、可验证的关键细节描述。方案完全涵盖所有要素，且对各部分的描述均具体、可操作，逻辑清晰，与项目需求高度契合，得7分；方案涵盖所有要素，但其中部分描述较为概括，关键细节的完整性与清晰度存在不足，得4分；方案内容存在要素缺失，或整体描述空泛、缺乏可验证的具体信息，得1分；未提供方案得0分。</w:t>
            </w:r>
          </w:p>
        </w:tc>
        <w:tc>
          <w:tcPr>
            <w:tcW w:w="792" w:type="dxa"/>
            <w:tcBorders>
              <w:top w:val="single" w:color="auto" w:sz="4" w:space="0"/>
            </w:tcBorders>
            <w:vAlign w:val="center"/>
          </w:tcPr>
          <w:p w14:paraId="61049E91">
            <w:pPr>
              <w:jc w:val="center"/>
              <w:rPr>
                <w:rFonts w:ascii="仿宋" w:hAnsi="仿宋" w:eastAsia="仿宋" w:cs="仿宋"/>
                <w:sz w:val="22"/>
              </w:rPr>
            </w:pPr>
            <w:r>
              <w:rPr>
                <w:rFonts w:hint="eastAsia" w:ascii="仿宋" w:hAnsi="仿宋" w:eastAsia="仿宋" w:cs="仿宋"/>
                <w:sz w:val="22"/>
              </w:rPr>
              <w:t>7分</w:t>
            </w:r>
          </w:p>
        </w:tc>
      </w:tr>
      <w:tr w14:paraId="53DBB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9" w:hRule="atLeast"/>
        </w:trPr>
        <w:tc>
          <w:tcPr>
            <w:tcW w:w="665" w:type="dxa"/>
            <w:vMerge w:val="continue"/>
            <w:vAlign w:val="center"/>
          </w:tcPr>
          <w:p w14:paraId="682E6985">
            <w:pPr>
              <w:jc w:val="center"/>
              <w:rPr>
                <w:rFonts w:ascii="仿宋" w:hAnsi="仿宋" w:eastAsia="仿宋" w:cs="仿宋"/>
                <w:sz w:val="22"/>
              </w:rPr>
            </w:pPr>
          </w:p>
        </w:tc>
        <w:tc>
          <w:tcPr>
            <w:tcW w:w="1508" w:type="dxa"/>
            <w:vMerge w:val="continue"/>
            <w:vAlign w:val="center"/>
          </w:tcPr>
          <w:p w14:paraId="3F67EC57">
            <w:pPr>
              <w:jc w:val="center"/>
              <w:rPr>
                <w:rFonts w:ascii="仿宋" w:hAnsi="仿宋" w:eastAsia="仿宋" w:cs="仿宋"/>
                <w:sz w:val="22"/>
              </w:rPr>
            </w:pPr>
          </w:p>
        </w:tc>
        <w:tc>
          <w:tcPr>
            <w:tcW w:w="1520" w:type="dxa"/>
            <w:tcBorders>
              <w:top w:val="single" w:color="auto" w:sz="4" w:space="0"/>
              <w:right w:val="single" w:color="auto" w:sz="4" w:space="0"/>
            </w:tcBorders>
            <w:shd w:val="clear" w:color="auto" w:fill="FFFFFF" w:themeFill="background1"/>
            <w:vAlign w:val="center"/>
          </w:tcPr>
          <w:p w14:paraId="272BE83D">
            <w:pPr>
              <w:jc w:val="center"/>
              <w:rPr>
                <w:rFonts w:ascii="仿宋" w:hAnsi="仿宋" w:eastAsia="仿宋" w:cs="仿宋"/>
                <w:color w:val="000000"/>
                <w:szCs w:val="21"/>
              </w:rPr>
            </w:pPr>
            <w:r>
              <w:rPr>
                <w:rFonts w:hint="eastAsia" w:ascii="仿宋" w:hAnsi="仿宋" w:eastAsia="仿宋" w:cs="仿宋"/>
                <w:color w:val="000000"/>
                <w:szCs w:val="21"/>
              </w:rPr>
              <w:t>突发事件应急处理预案</w:t>
            </w:r>
          </w:p>
          <w:p w14:paraId="300F2DCC">
            <w:pPr>
              <w:widowControl/>
              <w:jc w:val="center"/>
              <w:textAlignment w:val="center"/>
              <w:rPr>
                <w:rFonts w:ascii="仿宋" w:hAnsi="仿宋" w:eastAsia="仿宋" w:cs="仿宋"/>
                <w:color w:val="000000"/>
                <w:szCs w:val="21"/>
                <w:lang w:val="zh-CN"/>
              </w:rPr>
            </w:pPr>
            <w:r>
              <w:rPr>
                <w:rFonts w:hint="eastAsia" w:ascii="仿宋" w:hAnsi="仿宋" w:eastAsia="仿宋" w:cs="仿宋"/>
                <w:color w:val="000000"/>
                <w:szCs w:val="21"/>
              </w:rPr>
              <w:t>（7分）</w:t>
            </w:r>
          </w:p>
        </w:tc>
        <w:tc>
          <w:tcPr>
            <w:tcW w:w="5389" w:type="dxa"/>
            <w:tcBorders>
              <w:top w:val="single" w:color="auto" w:sz="4" w:space="0"/>
              <w:left w:val="single" w:color="auto" w:sz="4" w:space="0"/>
            </w:tcBorders>
            <w:shd w:val="clear" w:color="auto" w:fill="FFFFFF" w:themeFill="background1"/>
            <w:vAlign w:val="center"/>
          </w:tcPr>
          <w:p w14:paraId="1816BA87">
            <w:pPr>
              <w:pStyle w:val="11"/>
              <w:keepNext w:val="0"/>
              <w:keepLines w:val="0"/>
              <w:widowControl/>
              <w:suppressLineNumbers w:val="0"/>
              <w:shd w:val="clear" w:fill="FFFFFF"/>
              <w:spacing w:before="0" w:beforeAutospacing="0" w:after="120" w:afterAutospacing="0"/>
              <w:ind w:left="0" w:right="0" w:firstLine="0"/>
            </w:pPr>
            <w:r>
              <w:rPr>
                <w:rFonts w:hint="eastAsia" w:ascii="仿宋" w:hAnsi="仿宋" w:eastAsia="仿宋" w:cs="仿宋"/>
                <w:color w:val="000000"/>
                <w:kern w:val="0"/>
                <w:sz w:val="21"/>
                <w:szCs w:val="21"/>
                <w:lang w:val="zh-CN" w:eastAsia="zh-CN" w:bidi="ar"/>
              </w:rPr>
              <w:t>供应商提供的突发事件应急处理预案将依据以下量化标准进行评分：</w:t>
            </w:r>
            <w:r>
              <w:rPr>
                <w:rFonts w:hint="default" w:ascii="仿宋" w:hAnsi="仿宋" w:eastAsia="仿宋" w:cs="仿宋"/>
                <w:color w:val="000000"/>
                <w:kern w:val="0"/>
                <w:sz w:val="21"/>
                <w:szCs w:val="21"/>
                <w:lang w:val="zh-CN" w:eastAsia="zh-CN" w:bidi="ar"/>
              </w:rPr>
              <w:t>方案需系统涵盖应急措施、服务响应机制及应急保障安排等核心内容，且各部分应包含清晰、可执行的关键安排与承诺。方案内容完整，应急措施具体且包含明确处理流程与资源调配方案，服务响应机制承诺具体时效并明确人员职责，应急保障安排详实，整体逻辑严谨，得7分；方案内容基本完整，但应急措施、响应机制或保障安排中某一方面的具体性不足，或关键环节描述不够清晰，得4分；方案内容存在明显缺失，或措施笼统、缺乏可执行的关键信息，得1分；未提供预案得0分。</w:t>
            </w:r>
          </w:p>
        </w:tc>
        <w:tc>
          <w:tcPr>
            <w:tcW w:w="792" w:type="dxa"/>
            <w:tcBorders>
              <w:top w:val="single" w:color="auto" w:sz="4" w:space="0"/>
            </w:tcBorders>
            <w:vAlign w:val="center"/>
          </w:tcPr>
          <w:p w14:paraId="66C4EF41">
            <w:pPr>
              <w:jc w:val="center"/>
              <w:rPr>
                <w:rFonts w:ascii="仿宋" w:hAnsi="仿宋" w:eastAsia="仿宋" w:cs="仿宋"/>
                <w:sz w:val="22"/>
              </w:rPr>
            </w:pPr>
            <w:r>
              <w:rPr>
                <w:rFonts w:hint="eastAsia" w:ascii="仿宋" w:hAnsi="仿宋" w:eastAsia="仿宋" w:cs="仿宋"/>
                <w:sz w:val="22"/>
              </w:rPr>
              <w:t>7分分</w:t>
            </w:r>
          </w:p>
        </w:tc>
      </w:tr>
      <w:tr w14:paraId="7CF94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restart"/>
            <w:vAlign w:val="center"/>
          </w:tcPr>
          <w:p w14:paraId="48BF59FC">
            <w:pPr>
              <w:jc w:val="center"/>
              <w:rPr>
                <w:rFonts w:ascii="仿宋" w:hAnsi="仿宋" w:eastAsia="仿宋" w:cs="仿宋"/>
                <w:sz w:val="22"/>
              </w:rPr>
            </w:pPr>
            <w:r>
              <w:rPr>
                <w:rFonts w:hint="eastAsia" w:ascii="仿宋" w:hAnsi="仿宋" w:eastAsia="仿宋" w:cs="仿宋"/>
                <w:sz w:val="22"/>
              </w:rPr>
              <w:t>3</w:t>
            </w:r>
          </w:p>
        </w:tc>
        <w:tc>
          <w:tcPr>
            <w:tcW w:w="1508" w:type="dxa"/>
            <w:vMerge w:val="restart"/>
            <w:vAlign w:val="center"/>
          </w:tcPr>
          <w:p w14:paraId="4CC5C6FA">
            <w:pPr>
              <w:jc w:val="center"/>
              <w:rPr>
                <w:rFonts w:ascii="仿宋" w:hAnsi="仿宋" w:eastAsia="仿宋" w:cs="仿宋"/>
                <w:sz w:val="22"/>
              </w:rPr>
            </w:pPr>
            <w:r>
              <w:rPr>
                <w:rFonts w:hint="eastAsia" w:ascii="仿宋" w:hAnsi="仿宋" w:eastAsia="仿宋" w:cs="仿宋"/>
                <w:kern w:val="0"/>
                <w:sz w:val="22"/>
                <w:lang w:bidi="ar"/>
              </w:rPr>
              <w:t>商务部分（25分）</w:t>
            </w:r>
          </w:p>
        </w:tc>
        <w:tc>
          <w:tcPr>
            <w:tcW w:w="1520" w:type="dxa"/>
            <w:tcBorders>
              <w:top w:val="single" w:color="auto" w:sz="4" w:space="0"/>
              <w:right w:val="single" w:color="auto" w:sz="4" w:space="0"/>
            </w:tcBorders>
            <w:shd w:val="clear" w:color="auto" w:fill="FFFFFF" w:themeFill="background1"/>
            <w:vAlign w:val="center"/>
          </w:tcPr>
          <w:p w14:paraId="45BBF301">
            <w:pPr>
              <w:widowControl/>
              <w:jc w:val="center"/>
              <w:textAlignment w:val="center"/>
              <w:rPr>
                <w:rFonts w:ascii="仿宋" w:hAnsi="仿宋" w:eastAsia="仿宋" w:cs="仿宋"/>
                <w:szCs w:val="21"/>
              </w:rPr>
            </w:pPr>
            <w:r>
              <w:rPr>
                <w:rFonts w:hint="eastAsia" w:ascii="仿宋" w:hAnsi="仿宋" w:eastAsia="仿宋" w:cs="仿宋"/>
                <w:szCs w:val="21"/>
              </w:rPr>
              <w:t>企业资质</w:t>
            </w:r>
          </w:p>
          <w:p w14:paraId="001EFD44">
            <w:pPr>
              <w:widowControl/>
              <w:jc w:val="center"/>
              <w:textAlignment w:val="center"/>
              <w:rPr>
                <w:rFonts w:ascii="仿宋" w:hAnsi="仿宋" w:eastAsia="仿宋" w:cs="仿宋"/>
                <w:szCs w:val="21"/>
              </w:rPr>
            </w:pPr>
            <w:r>
              <w:rPr>
                <w:rFonts w:hint="eastAsia" w:ascii="仿宋" w:hAnsi="仿宋" w:eastAsia="仿宋" w:cs="仿宋"/>
                <w:szCs w:val="21"/>
              </w:rPr>
              <w:t>（10分）</w:t>
            </w:r>
          </w:p>
        </w:tc>
        <w:tc>
          <w:tcPr>
            <w:tcW w:w="5389" w:type="dxa"/>
            <w:tcBorders>
              <w:top w:val="single" w:color="auto" w:sz="4" w:space="0"/>
              <w:left w:val="single" w:color="auto" w:sz="4" w:space="0"/>
            </w:tcBorders>
            <w:shd w:val="clear" w:color="auto" w:fill="FFFFFF" w:themeFill="background1"/>
          </w:tcPr>
          <w:p w14:paraId="513A975B">
            <w:pPr>
              <w:pStyle w:val="25"/>
              <w:numPr>
                <w:ilvl w:val="0"/>
                <w:numId w:val="3"/>
              </w:numP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供应商具有</w:t>
            </w:r>
            <w:r>
              <w:rPr>
                <w:rFonts w:hint="eastAsia" w:ascii="仿宋" w:hAnsi="仿宋" w:eastAsia="仿宋" w:cs="仿宋"/>
                <w:color w:val="000000"/>
                <w:kern w:val="0"/>
                <w:szCs w:val="21"/>
                <w:lang w:val="en-US" w:bidi="ar"/>
              </w:rPr>
              <w:t>ITSS</w:t>
            </w:r>
            <w:r>
              <w:rPr>
                <w:rFonts w:hint="eastAsia" w:ascii="仿宋" w:hAnsi="仿宋" w:eastAsia="仿宋" w:cs="仿宋"/>
                <w:color w:val="000000"/>
                <w:kern w:val="0"/>
                <w:szCs w:val="21"/>
                <w:lang w:bidi="ar"/>
              </w:rPr>
              <w:t>信息技术服务标准符合性证书、质量管理体系认证证书、信息安全管理体系认证证书、信息技术服务管理体系认证证书的，每提供1个得</w:t>
            </w:r>
            <w:r>
              <w:rPr>
                <w:rFonts w:hint="eastAsia" w:ascii="仿宋" w:hAnsi="仿宋" w:eastAsia="仿宋" w:cs="仿宋"/>
                <w:color w:val="000000"/>
                <w:kern w:val="0"/>
                <w:szCs w:val="21"/>
                <w:lang w:val="en-US" w:eastAsia="zh-CN" w:bidi="ar"/>
              </w:rPr>
              <w:t>1</w:t>
            </w:r>
            <w:r>
              <w:rPr>
                <w:rFonts w:hint="eastAsia" w:ascii="仿宋" w:hAnsi="仿宋" w:eastAsia="仿宋" w:cs="仿宋"/>
                <w:color w:val="000000"/>
                <w:kern w:val="0"/>
                <w:szCs w:val="21"/>
                <w:lang w:bidi="ar"/>
              </w:rPr>
              <w:t>分，最高得</w:t>
            </w:r>
            <w:r>
              <w:rPr>
                <w:rFonts w:hint="eastAsia" w:ascii="仿宋" w:hAnsi="仿宋" w:eastAsia="仿宋" w:cs="仿宋"/>
                <w:color w:val="000000"/>
                <w:kern w:val="0"/>
                <w:szCs w:val="21"/>
                <w:lang w:val="en-US" w:eastAsia="zh-CN" w:bidi="ar"/>
              </w:rPr>
              <w:t>4</w:t>
            </w:r>
            <w:r>
              <w:rPr>
                <w:rFonts w:hint="eastAsia" w:ascii="仿宋" w:hAnsi="仿宋" w:eastAsia="仿宋" w:cs="仿宋"/>
                <w:color w:val="000000"/>
                <w:kern w:val="0"/>
                <w:szCs w:val="21"/>
                <w:lang w:bidi="ar"/>
              </w:rPr>
              <w:t>分。</w:t>
            </w:r>
          </w:p>
          <w:p w14:paraId="01D87215">
            <w:pPr>
              <w:pStyle w:val="25"/>
              <w:numPr>
                <w:ilvl w:val="0"/>
                <w:numId w:val="3"/>
              </w:numPr>
              <w:rPr>
                <w:rFonts w:ascii="仿宋" w:hAnsi="仿宋" w:eastAsia="仿宋" w:cs="仿宋"/>
                <w:szCs w:val="21"/>
                <w:lang w:val="en-US"/>
              </w:rPr>
            </w:pPr>
            <w:r>
              <w:rPr>
                <w:rFonts w:hint="eastAsia" w:ascii="仿宋" w:hAnsi="仿宋" w:eastAsia="仿宋" w:cs="仿宋"/>
                <w:szCs w:val="21"/>
                <w:lang w:val="en-US"/>
              </w:rPr>
              <w:t>供应商具有项目建设需求所需的智能检索系统软件、政务服务应用管理系统、多端低代码平台等产品著作权证书（相关软件著作权名称可不完全一致，但须具备同等或相似功能）。每提供1个得2分，满分6分。</w:t>
            </w:r>
          </w:p>
          <w:p w14:paraId="14F41347">
            <w:pPr>
              <w:pStyle w:val="25"/>
              <w:rPr>
                <w:rFonts w:ascii="仿宋" w:hAnsi="仿宋" w:eastAsia="仿宋" w:cs="仿宋"/>
                <w:szCs w:val="21"/>
              </w:rPr>
            </w:pPr>
            <w:r>
              <w:rPr>
                <w:rFonts w:hint="eastAsia" w:ascii="仿宋" w:hAnsi="仿宋" w:eastAsia="仿宋" w:cs="仿宋"/>
                <w:b/>
                <w:bCs/>
                <w:szCs w:val="21"/>
              </w:rPr>
              <w:t>响应文件提供相关证书证明复印件或电子件并加盖投标人公章，未提供不得分。</w:t>
            </w:r>
          </w:p>
        </w:tc>
        <w:tc>
          <w:tcPr>
            <w:tcW w:w="792" w:type="dxa"/>
            <w:tcBorders>
              <w:top w:val="single" w:color="auto" w:sz="4" w:space="0"/>
            </w:tcBorders>
            <w:vAlign w:val="center"/>
          </w:tcPr>
          <w:p w14:paraId="72485DED">
            <w:pPr>
              <w:jc w:val="center"/>
              <w:rPr>
                <w:rFonts w:ascii="仿宋" w:hAnsi="仿宋" w:eastAsia="仿宋" w:cs="仿宋"/>
                <w:sz w:val="22"/>
              </w:rPr>
            </w:pPr>
            <w:r>
              <w:rPr>
                <w:rFonts w:hint="eastAsia" w:ascii="仿宋" w:hAnsi="仿宋" w:eastAsia="仿宋" w:cs="仿宋"/>
                <w:sz w:val="22"/>
              </w:rPr>
              <w:t>10分</w:t>
            </w:r>
          </w:p>
        </w:tc>
      </w:tr>
      <w:tr w14:paraId="491F7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0EA1E9EA">
            <w:pPr>
              <w:jc w:val="center"/>
              <w:rPr>
                <w:rFonts w:ascii="仿宋" w:hAnsi="仿宋" w:eastAsia="仿宋" w:cs="仿宋"/>
                <w:sz w:val="22"/>
              </w:rPr>
            </w:pPr>
          </w:p>
        </w:tc>
        <w:tc>
          <w:tcPr>
            <w:tcW w:w="1508" w:type="dxa"/>
            <w:vMerge w:val="continue"/>
            <w:vAlign w:val="center"/>
          </w:tcPr>
          <w:p w14:paraId="069C1520">
            <w:pPr>
              <w:jc w:val="center"/>
              <w:rPr>
                <w:rFonts w:ascii="仿宋" w:hAnsi="仿宋" w:eastAsia="仿宋" w:cs="仿宋"/>
                <w:sz w:val="22"/>
              </w:rPr>
            </w:pPr>
          </w:p>
        </w:tc>
        <w:tc>
          <w:tcPr>
            <w:tcW w:w="1520" w:type="dxa"/>
            <w:tcBorders>
              <w:top w:val="single" w:color="auto" w:sz="4" w:space="0"/>
              <w:right w:val="single" w:color="auto" w:sz="4" w:space="0"/>
            </w:tcBorders>
            <w:shd w:val="clear" w:color="auto" w:fill="FFFFFF" w:themeFill="background1"/>
            <w:vAlign w:val="center"/>
          </w:tcPr>
          <w:p w14:paraId="2F78967F">
            <w:pPr>
              <w:widowControl/>
              <w:jc w:val="center"/>
              <w:textAlignment w:val="center"/>
              <w:rPr>
                <w:rFonts w:ascii="仿宋" w:hAnsi="仿宋" w:eastAsia="仿宋" w:cs="仿宋"/>
                <w:szCs w:val="21"/>
              </w:rPr>
            </w:pPr>
            <w:r>
              <w:rPr>
                <w:rFonts w:hint="eastAsia" w:ascii="仿宋" w:hAnsi="仿宋" w:eastAsia="仿宋" w:cs="仿宋"/>
                <w:szCs w:val="21"/>
              </w:rPr>
              <w:t>人员资质</w:t>
            </w:r>
          </w:p>
          <w:p w14:paraId="0F14B5EF">
            <w:pPr>
              <w:widowControl/>
              <w:jc w:val="center"/>
              <w:textAlignment w:val="center"/>
              <w:rPr>
                <w:rFonts w:ascii="仿宋" w:hAnsi="仿宋" w:eastAsia="仿宋" w:cs="仿宋"/>
                <w:szCs w:val="21"/>
              </w:rPr>
            </w:pPr>
            <w:r>
              <w:rPr>
                <w:rFonts w:hint="eastAsia" w:ascii="仿宋" w:hAnsi="仿宋" w:eastAsia="仿宋" w:cs="仿宋"/>
                <w:szCs w:val="21"/>
              </w:rPr>
              <w:t>（7分）</w:t>
            </w:r>
          </w:p>
        </w:tc>
        <w:tc>
          <w:tcPr>
            <w:tcW w:w="5389" w:type="dxa"/>
            <w:tcBorders>
              <w:top w:val="single" w:color="auto" w:sz="4" w:space="0"/>
              <w:left w:val="single" w:color="auto" w:sz="4" w:space="0"/>
            </w:tcBorders>
            <w:shd w:val="clear" w:color="auto" w:fill="FFFFFF" w:themeFill="background1"/>
          </w:tcPr>
          <w:p w14:paraId="0D236509">
            <w:pPr>
              <w:pStyle w:val="25"/>
              <w:numPr>
                <w:ilvl w:val="0"/>
                <w:numId w:val="4"/>
              </w:numPr>
              <w:rPr>
                <w:rFonts w:ascii="仿宋" w:hAnsi="仿宋" w:eastAsia="仿宋" w:cs="仿宋"/>
                <w:szCs w:val="21"/>
                <w:lang w:val="en-US"/>
              </w:rPr>
            </w:pPr>
            <w:r>
              <w:rPr>
                <w:rFonts w:hint="eastAsia" w:ascii="仿宋" w:hAnsi="仿宋" w:eastAsia="仿宋" w:cs="仿宋"/>
                <w:szCs w:val="21"/>
                <w:lang w:val="en-US"/>
              </w:rPr>
              <w:t>拟派项目团队成员中，项目经理具有ITSS项目经理资格证书，得2分。</w:t>
            </w:r>
          </w:p>
          <w:p w14:paraId="268128C7">
            <w:pPr>
              <w:pStyle w:val="25"/>
              <w:rPr>
                <w:rFonts w:ascii="仿宋" w:hAnsi="仿宋" w:eastAsia="仿宋" w:cs="仿宋"/>
                <w:szCs w:val="21"/>
                <w:lang w:val="en-US"/>
              </w:rPr>
            </w:pPr>
            <w:r>
              <w:rPr>
                <w:rFonts w:hint="eastAsia" w:ascii="仿宋" w:hAnsi="仿宋" w:eastAsia="仿宋" w:cs="仿宋"/>
                <w:szCs w:val="21"/>
                <w:lang w:val="en-US"/>
              </w:rPr>
              <w:t>（2）拟派项目团队成员中，项目开发人员具有高级数据库管理工程师证书、系统架构师（高级）证书、高级程序员证书，每提供1个得1分，最多得3分。</w:t>
            </w:r>
          </w:p>
          <w:p w14:paraId="5F7A7D8B">
            <w:pPr>
              <w:pStyle w:val="25"/>
              <w:rPr>
                <w:rFonts w:ascii="仿宋" w:hAnsi="仿宋" w:eastAsia="仿宋" w:cs="仿宋"/>
                <w:szCs w:val="21"/>
                <w:lang w:val="en-US"/>
              </w:rPr>
            </w:pPr>
            <w:r>
              <w:rPr>
                <w:rFonts w:hint="eastAsia" w:ascii="仿宋" w:hAnsi="仿宋" w:eastAsia="仿宋" w:cs="仿宋"/>
                <w:szCs w:val="21"/>
                <w:lang w:val="en-US"/>
              </w:rPr>
              <w:t>（3）拟派项目团队成员中，项目实施人员具有系统规划与管理师证书、高级WEB前端开发工程师证书、软件测评师证书、系统集成项目管理工程师证书，每提供1个得0.5分，最多得2分。</w:t>
            </w:r>
          </w:p>
          <w:p w14:paraId="04D821EB">
            <w:pPr>
              <w:pStyle w:val="25"/>
              <w:rPr>
                <w:rFonts w:ascii="仿宋" w:hAnsi="仿宋" w:eastAsia="仿宋" w:cs="仿宋"/>
                <w:szCs w:val="21"/>
              </w:rPr>
            </w:pPr>
            <w:r>
              <w:rPr>
                <w:rFonts w:hint="eastAsia" w:ascii="仿宋" w:hAnsi="仿宋" w:eastAsia="仿宋" w:cs="仿宋"/>
                <w:b/>
                <w:bCs/>
                <w:szCs w:val="21"/>
              </w:rPr>
              <w:t>投标文件提供项目团队人员名单，附相关证书、证明复印件、扫描件或电子件并加盖投标人公章，同时提供202</w:t>
            </w:r>
            <w:r>
              <w:rPr>
                <w:rFonts w:hint="eastAsia" w:ascii="仿宋" w:hAnsi="仿宋" w:eastAsia="仿宋" w:cs="仿宋"/>
                <w:b/>
                <w:bCs/>
                <w:szCs w:val="21"/>
                <w:lang w:val="en-US"/>
              </w:rPr>
              <w:t>5</w:t>
            </w:r>
            <w:r>
              <w:rPr>
                <w:rFonts w:hint="eastAsia" w:ascii="仿宋" w:hAnsi="仿宋" w:eastAsia="仿宋" w:cs="仿宋"/>
                <w:b/>
                <w:bCs/>
                <w:szCs w:val="21"/>
              </w:rPr>
              <w:t>年1月（含）以来任意一个月由</w:t>
            </w:r>
            <w:r>
              <w:rPr>
                <w:rFonts w:hint="eastAsia" w:ascii="仿宋" w:hAnsi="仿宋" w:eastAsia="仿宋" w:cs="仿宋"/>
                <w:b/>
                <w:bCs/>
                <w:szCs w:val="21"/>
                <w:lang w:val="en-US"/>
              </w:rPr>
              <w:t>供应商</w:t>
            </w:r>
            <w:r>
              <w:rPr>
                <w:rFonts w:hint="eastAsia" w:ascii="仿宋" w:hAnsi="仿宋" w:eastAsia="仿宋" w:cs="仿宋"/>
                <w:b/>
                <w:bCs/>
                <w:szCs w:val="21"/>
              </w:rPr>
              <w:t>为其缴纳社保证明，未提供不得分。</w:t>
            </w:r>
          </w:p>
        </w:tc>
        <w:tc>
          <w:tcPr>
            <w:tcW w:w="792" w:type="dxa"/>
            <w:tcBorders>
              <w:top w:val="single" w:color="auto" w:sz="4" w:space="0"/>
            </w:tcBorders>
            <w:vAlign w:val="center"/>
          </w:tcPr>
          <w:p w14:paraId="0B74D7A6">
            <w:pPr>
              <w:jc w:val="center"/>
              <w:rPr>
                <w:rFonts w:ascii="仿宋" w:hAnsi="仿宋" w:eastAsia="仿宋" w:cs="仿宋"/>
                <w:sz w:val="22"/>
              </w:rPr>
            </w:pPr>
            <w:r>
              <w:rPr>
                <w:rFonts w:hint="eastAsia" w:ascii="仿宋" w:hAnsi="仿宋" w:eastAsia="仿宋" w:cs="仿宋"/>
                <w:sz w:val="22"/>
              </w:rPr>
              <w:t>7分</w:t>
            </w:r>
          </w:p>
        </w:tc>
      </w:tr>
      <w:tr w14:paraId="3E60E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665" w:type="dxa"/>
            <w:vMerge w:val="continue"/>
            <w:vAlign w:val="center"/>
          </w:tcPr>
          <w:p w14:paraId="4C7CE7B1">
            <w:pPr>
              <w:jc w:val="center"/>
              <w:rPr>
                <w:rFonts w:ascii="仿宋" w:hAnsi="仿宋" w:eastAsia="仿宋" w:cs="仿宋"/>
                <w:sz w:val="22"/>
              </w:rPr>
            </w:pPr>
          </w:p>
        </w:tc>
        <w:tc>
          <w:tcPr>
            <w:tcW w:w="1508" w:type="dxa"/>
            <w:vMerge w:val="continue"/>
            <w:vAlign w:val="center"/>
          </w:tcPr>
          <w:p w14:paraId="23EDC8A2">
            <w:pPr>
              <w:jc w:val="center"/>
              <w:rPr>
                <w:rFonts w:ascii="仿宋" w:hAnsi="仿宋" w:eastAsia="仿宋" w:cs="仿宋"/>
                <w:sz w:val="22"/>
              </w:rPr>
            </w:pPr>
          </w:p>
        </w:tc>
        <w:tc>
          <w:tcPr>
            <w:tcW w:w="1520" w:type="dxa"/>
            <w:tcBorders>
              <w:top w:val="single" w:color="auto" w:sz="4" w:space="0"/>
              <w:right w:val="single" w:color="auto" w:sz="4" w:space="0"/>
            </w:tcBorders>
            <w:shd w:val="clear" w:color="auto" w:fill="FFFFFF" w:themeFill="background1"/>
            <w:vAlign w:val="center"/>
          </w:tcPr>
          <w:p w14:paraId="6301E3A5">
            <w:pPr>
              <w:widowControl/>
              <w:jc w:val="center"/>
              <w:textAlignment w:val="center"/>
              <w:rPr>
                <w:rFonts w:ascii="仿宋" w:hAnsi="仿宋" w:eastAsia="仿宋" w:cs="仿宋"/>
                <w:szCs w:val="21"/>
              </w:rPr>
            </w:pPr>
            <w:r>
              <w:rPr>
                <w:rFonts w:hint="eastAsia" w:ascii="仿宋" w:hAnsi="仿宋" w:eastAsia="仿宋" w:cs="仿宋"/>
                <w:szCs w:val="21"/>
              </w:rPr>
              <w:t>业绩</w:t>
            </w:r>
          </w:p>
          <w:p w14:paraId="48100293">
            <w:pPr>
              <w:widowControl/>
              <w:jc w:val="center"/>
              <w:textAlignment w:val="center"/>
              <w:rPr>
                <w:rFonts w:ascii="仿宋" w:hAnsi="仿宋" w:eastAsia="仿宋" w:cs="仿宋"/>
                <w:sz w:val="22"/>
              </w:rPr>
            </w:pPr>
            <w:r>
              <w:rPr>
                <w:rFonts w:hint="eastAsia" w:ascii="仿宋" w:hAnsi="仿宋" w:eastAsia="仿宋" w:cs="仿宋"/>
                <w:szCs w:val="21"/>
              </w:rPr>
              <w:t>（8分）</w:t>
            </w:r>
          </w:p>
        </w:tc>
        <w:tc>
          <w:tcPr>
            <w:tcW w:w="5389" w:type="dxa"/>
            <w:tcBorders>
              <w:top w:val="single" w:color="auto" w:sz="4" w:space="0"/>
              <w:left w:val="single" w:color="auto" w:sz="4" w:space="0"/>
            </w:tcBorders>
            <w:shd w:val="clear" w:color="auto" w:fill="FFFFFF" w:themeFill="background1"/>
          </w:tcPr>
          <w:p w14:paraId="62B1C2ED">
            <w:pPr>
              <w:rPr>
                <w:rFonts w:ascii="仿宋" w:hAnsi="仿宋" w:eastAsia="仿宋" w:cs="仿宋"/>
                <w:szCs w:val="21"/>
                <w:lang w:val="zh-CN"/>
              </w:rPr>
            </w:pPr>
            <w:r>
              <w:rPr>
                <w:rFonts w:hint="eastAsia" w:ascii="仿宋" w:hAnsi="仿宋" w:eastAsia="仿宋" w:cs="仿宋"/>
                <w:szCs w:val="21"/>
                <w:lang w:val="zh-CN"/>
              </w:rPr>
              <w:t>供应商自202</w:t>
            </w:r>
            <w:r>
              <w:rPr>
                <w:rFonts w:hint="eastAsia" w:ascii="仿宋" w:hAnsi="仿宋" w:eastAsia="仿宋" w:cs="仿宋"/>
                <w:szCs w:val="21"/>
              </w:rPr>
              <w:t>2</w:t>
            </w:r>
            <w:r>
              <w:rPr>
                <w:rFonts w:hint="eastAsia" w:ascii="仿宋" w:hAnsi="仿宋" w:eastAsia="仿宋" w:cs="仿宋"/>
                <w:szCs w:val="21"/>
                <w:lang w:val="zh-CN"/>
              </w:rPr>
              <w:t>年</w:t>
            </w:r>
            <w:r>
              <w:rPr>
                <w:rFonts w:hint="eastAsia" w:ascii="仿宋" w:hAnsi="仿宋" w:eastAsia="仿宋" w:cs="仿宋"/>
                <w:szCs w:val="21"/>
              </w:rPr>
              <w:t>6</w:t>
            </w:r>
            <w:r>
              <w:rPr>
                <w:rFonts w:hint="eastAsia" w:ascii="仿宋" w:hAnsi="仿宋" w:eastAsia="仿宋" w:cs="仿宋"/>
                <w:szCs w:val="21"/>
                <w:lang w:val="zh-CN"/>
              </w:rPr>
              <w:t>月1日以来</w:t>
            </w:r>
            <w:r>
              <w:rPr>
                <w:rFonts w:hint="eastAsia" w:ascii="仿宋" w:hAnsi="仿宋" w:eastAsia="仿宋" w:cs="仿宋"/>
                <w:color w:val="05073B"/>
                <w:szCs w:val="21"/>
              </w:rPr>
              <w:t>成功实施类似政务服务移动端开发项目案例</w:t>
            </w:r>
            <w:r>
              <w:rPr>
                <w:rFonts w:hint="eastAsia" w:ascii="仿宋" w:hAnsi="仿宋" w:eastAsia="仿宋" w:cs="仿宋"/>
                <w:szCs w:val="21"/>
                <w:lang w:val="zh-CN"/>
              </w:rPr>
              <w:t>，每提供一个业绩证明材料得</w:t>
            </w:r>
            <w:r>
              <w:rPr>
                <w:rFonts w:hint="eastAsia" w:ascii="仿宋" w:hAnsi="仿宋" w:eastAsia="仿宋" w:cs="仿宋"/>
                <w:szCs w:val="21"/>
              </w:rPr>
              <w:t>2</w:t>
            </w:r>
            <w:r>
              <w:rPr>
                <w:rFonts w:hint="eastAsia" w:ascii="仿宋" w:hAnsi="仿宋" w:eastAsia="仿宋" w:cs="仿宋"/>
                <w:szCs w:val="21"/>
                <w:lang w:val="zh-CN"/>
              </w:rPr>
              <w:t>分，最高</w:t>
            </w:r>
            <w:r>
              <w:rPr>
                <w:rFonts w:hint="eastAsia" w:ascii="仿宋" w:hAnsi="仿宋" w:eastAsia="仿宋" w:cs="仿宋"/>
                <w:szCs w:val="21"/>
              </w:rPr>
              <w:t>8</w:t>
            </w:r>
            <w:r>
              <w:rPr>
                <w:rFonts w:hint="eastAsia" w:ascii="仿宋" w:hAnsi="仿宋" w:eastAsia="仿宋" w:cs="仿宋"/>
                <w:szCs w:val="21"/>
                <w:lang w:val="zh-CN"/>
              </w:rPr>
              <w:t>分，不提供不得分。</w:t>
            </w:r>
          </w:p>
          <w:p w14:paraId="5AD17D69">
            <w:pPr>
              <w:pStyle w:val="25"/>
              <w:rPr>
                <w:rFonts w:ascii="仿宋" w:hAnsi="仿宋" w:eastAsia="仿宋" w:cs="仿宋"/>
                <w:szCs w:val="21"/>
              </w:rPr>
            </w:pPr>
            <w:r>
              <w:rPr>
                <w:rFonts w:hint="eastAsia" w:ascii="仿宋" w:hAnsi="仿宋" w:eastAsia="仿宋" w:cs="仿宋"/>
                <w:b/>
                <w:bCs/>
                <w:szCs w:val="21"/>
              </w:rPr>
              <w:t>（时间以合同签订时间为准，需体现项目内容并加盖投标人公章，否则不得分）</w:t>
            </w:r>
          </w:p>
        </w:tc>
        <w:tc>
          <w:tcPr>
            <w:tcW w:w="792" w:type="dxa"/>
            <w:tcBorders>
              <w:top w:val="single" w:color="auto" w:sz="4" w:space="0"/>
            </w:tcBorders>
            <w:vAlign w:val="center"/>
          </w:tcPr>
          <w:p w14:paraId="61FA9EEE">
            <w:pPr>
              <w:jc w:val="center"/>
              <w:rPr>
                <w:rFonts w:ascii="仿宋" w:hAnsi="仿宋" w:eastAsia="仿宋" w:cs="仿宋"/>
                <w:sz w:val="22"/>
              </w:rPr>
            </w:pPr>
            <w:r>
              <w:rPr>
                <w:rFonts w:hint="eastAsia" w:ascii="仿宋" w:hAnsi="仿宋" w:eastAsia="仿宋" w:cs="仿宋"/>
                <w:sz w:val="22"/>
              </w:rPr>
              <w:t>8分</w:t>
            </w:r>
          </w:p>
        </w:tc>
      </w:tr>
      <w:tr w14:paraId="19912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82" w:type="dxa"/>
            <w:gridSpan w:val="4"/>
            <w:vAlign w:val="center"/>
          </w:tcPr>
          <w:p w14:paraId="5165189A">
            <w:pPr>
              <w:jc w:val="center"/>
              <w:rPr>
                <w:rFonts w:ascii="仿宋" w:hAnsi="仿宋" w:eastAsia="仿宋" w:cs="仿宋"/>
                <w:b/>
                <w:bCs/>
                <w:sz w:val="22"/>
              </w:rPr>
            </w:pPr>
            <w:r>
              <w:rPr>
                <w:rFonts w:hint="eastAsia" w:ascii="仿宋" w:hAnsi="仿宋" w:eastAsia="仿宋" w:cs="仿宋"/>
                <w:b/>
                <w:bCs/>
                <w:sz w:val="22"/>
              </w:rPr>
              <w:t>合计</w:t>
            </w:r>
          </w:p>
        </w:tc>
        <w:tc>
          <w:tcPr>
            <w:tcW w:w="792" w:type="dxa"/>
            <w:vAlign w:val="center"/>
          </w:tcPr>
          <w:p w14:paraId="171C4C29">
            <w:pPr>
              <w:jc w:val="center"/>
              <w:rPr>
                <w:rFonts w:ascii="仿宋" w:hAnsi="仿宋" w:eastAsia="仿宋" w:cs="仿宋"/>
                <w:b/>
                <w:bCs/>
                <w:sz w:val="22"/>
              </w:rPr>
            </w:pPr>
            <w:r>
              <w:rPr>
                <w:rFonts w:hint="eastAsia" w:ascii="仿宋" w:hAnsi="仿宋" w:eastAsia="仿宋" w:cs="仿宋"/>
                <w:b/>
                <w:bCs/>
                <w:sz w:val="22"/>
              </w:rPr>
              <w:t>100</w:t>
            </w:r>
          </w:p>
        </w:tc>
      </w:tr>
    </w:tbl>
    <w:p w14:paraId="346EAC54">
      <w:pPr>
        <w:rPr>
          <w:rFonts w:ascii="仿宋" w:hAnsi="仿宋" w:eastAsia="仿宋" w:cs="仿宋"/>
        </w:rPr>
      </w:pPr>
    </w:p>
    <w:p w14:paraId="3069BBCA">
      <w:pPr>
        <w:keepNext/>
        <w:jc w:val="center"/>
        <w:outlineLvl w:val="0"/>
        <w:rPr>
          <w:rFonts w:ascii="仿宋" w:hAnsi="仿宋" w:eastAsia="仿宋" w:cs="仿宋"/>
          <w:b/>
          <w:sz w:val="44"/>
          <w:szCs w:val="28"/>
        </w:rPr>
      </w:pPr>
      <w:bookmarkStart w:id="214" w:name="_Toc806"/>
      <w:bookmarkStart w:id="215" w:name="_Toc2753"/>
      <w:bookmarkStart w:id="216" w:name="_Toc29207"/>
      <w:r>
        <w:rPr>
          <w:rFonts w:hint="eastAsia" w:ascii="仿宋" w:hAnsi="仿宋" w:eastAsia="仿宋" w:cs="仿宋"/>
          <w:b/>
          <w:sz w:val="44"/>
          <w:szCs w:val="28"/>
        </w:rPr>
        <w:t xml:space="preserve">第六章  </w:t>
      </w:r>
      <w:bookmarkEnd w:id="207"/>
      <w:bookmarkEnd w:id="208"/>
      <w:bookmarkEnd w:id="209"/>
      <w:r>
        <w:rPr>
          <w:rFonts w:hint="eastAsia" w:ascii="仿宋" w:hAnsi="仿宋" w:eastAsia="仿宋" w:cs="仿宋"/>
          <w:b/>
          <w:sz w:val="44"/>
          <w:szCs w:val="28"/>
        </w:rPr>
        <w:t>响应文件格式</w:t>
      </w:r>
      <w:bookmarkEnd w:id="214"/>
      <w:bookmarkEnd w:id="215"/>
      <w:bookmarkEnd w:id="216"/>
      <w:r>
        <w:rPr>
          <w:rFonts w:hint="eastAsia" w:ascii="仿宋" w:hAnsi="仿宋" w:eastAsia="仿宋" w:cs="仿宋"/>
          <w:b/>
          <w:sz w:val="44"/>
          <w:szCs w:val="28"/>
        </w:rPr>
        <w:t xml:space="preserve"> </w:t>
      </w:r>
    </w:p>
    <w:p w14:paraId="524C8837">
      <w:pPr>
        <w:jc w:val="center"/>
        <w:rPr>
          <w:rFonts w:ascii="仿宋" w:hAnsi="仿宋" w:eastAsia="仿宋" w:cs="仿宋"/>
          <w:b/>
          <w:sz w:val="72"/>
          <w:szCs w:val="21"/>
        </w:rPr>
      </w:pPr>
      <w:bookmarkStart w:id="217" w:name="_Hlt26955039"/>
      <w:bookmarkEnd w:id="217"/>
      <w:bookmarkStart w:id="218" w:name="_Hlt26671244"/>
      <w:bookmarkEnd w:id="218"/>
      <w:bookmarkStart w:id="219" w:name="_Toc26554094"/>
      <w:bookmarkStart w:id="220" w:name="_Toc49090576"/>
      <w:bookmarkStart w:id="221" w:name="_Toc120614282"/>
    </w:p>
    <w:p w14:paraId="75EAEF2F">
      <w:pPr>
        <w:jc w:val="center"/>
        <w:rPr>
          <w:rFonts w:ascii="仿宋" w:hAnsi="仿宋" w:eastAsia="仿宋" w:cs="仿宋"/>
          <w:b/>
          <w:sz w:val="72"/>
          <w:szCs w:val="21"/>
        </w:rPr>
      </w:pPr>
    </w:p>
    <w:p w14:paraId="5C365B51">
      <w:pPr>
        <w:jc w:val="center"/>
        <w:rPr>
          <w:rFonts w:ascii="仿宋" w:hAnsi="仿宋" w:eastAsia="仿宋" w:cs="仿宋"/>
          <w:b/>
          <w:sz w:val="72"/>
          <w:szCs w:val="21"/>
        </w:rPr>
      </w:pPr>
    </w:p>
    <w:p w14:paraId="4EB6C06F">
      <w:pPr>
        <w:jc w:val="center"/>
        <w:rPr>
          <w:rFonts w:ascii="仿宋" w:hAnsi="仿宋" w:eastAsia="仿宋" w:cs="仿宋"/>
          <w:b/>
          <w:sz w:val="72"/>
          <w:szCs w:val="21"/>
        </w:rPr>
      </w:pPr>
    </w:p>
    <w:p w14:paraId="67C1A307">
      <w:pPr>
        <w:jc w:val="center"/>
        <w:rPr>
          <w:rFonts w:ascii="仿宋" w:hAnsi="仿宋" w:eastAsia="仿宋" w:cs="仿宋"/>
          <w:b/>
          <w:sz w:val="72"/>
          <w:szCs w:val="21"/>
        </w:rPr>
      </w:pPr>
      <w:r>
        <w:rPr>
          <w:rFonts w:hint="eastAsia" w:ascii="仿宋" w:hAnsi="仿宋" w:eastAsia="仿宋" w:cs="仿宋"/>
          <w:b/>
          <w:sz w:val="72"/>
          <w:szCs w:val="21"/>
        </w:rPr>
        <w:t>响  应  文  件</w:t>
      </w:r>
    </w:p>
    <w:p w14:paraId="60218F1A">
      <w:pPr>
        <w:jc w:val="center"/>
        <w:rPr>
          <w:rFonts w:ascii="仿宋" w:hAnsi="仿宋" w:eastAsia="仿宋" w:cs="仿宋"/>
          <w:b/>
          <w:sz w:val="72"/>
          <w:szCs w:val="21"/>
        </w:rPr>
      </w:pPr>
    </w:p>
    <w:p w14:paraId="3F7FB759">
      <w:pPr>
        <w:jc w:val="center"/>
        <w:rPr>
          <w:rFonts w:ascii="仿宋" w:hAnsi="仿宋" w:eastAsia="仿宋" w:cs="仿宋"/>
          <w:b/>
          <w:sz w:val="72"/>
          <w:szCs w:val="21"/>
        </w:rPr>
      </w:pPr>
    </w:p>
    <w:p w14:paraId="726726EA">
      <w:pPr>
        <w:jc w:val="center"/>
        <w:rPr>
          <w:rFonts w:ascii="仿宋" w:hAnsi="仿宋" w:eastAsia="仿宋" w:cs="仿宋"/>
          <w:b/>
          <w:sz w:val="36"/>
          <w:szCs w:val="21"/>
        </w:rPr>
      </w:pPr>
    </w:p>
    <w:p w14:paraId="712C1CF2">
      <w:pPr>
        <w:jc w:val="center"/>
        <w:rPr>
          <w:rFonts w:ascii="仿宋" w:hAnsi="仿宋" w:eastAsia="仿宋" w:cs="仿宋"/>
          <w:b/>
          <w:sz w:val="36"/>
          <w:szCs w:val="21"/>
        </w:rPr>
      </w:pPr>
    </w:p>
    <w:p w14:paraId="58E890C5">
      <w:pPr>
        <w:jc w:val="center"/>
        <w:rPr>
          <w:rFonts w:ascii="仿宋" w:hAnsi="仿宋" w:eastAsia="仿宋" w:cs="仿宋"/>
          <w:b/>
          <w:sz w:val="36"/>
          <w:szCs w:val="21"/>
        </w:rPr>
      </w:pPr>
    </w:p>
    <w:p w14:paraId="47A33E4A">
      <w:pPr>
        <w:ind w:firstLine="1084" w:firstLineChars="300"/>
        <w:rPr>
          <w:rFonts w:ascii="仿宋" w:hAnsi="仿宋" w:eastAsia="仿宋" w:cs="仿宋"/>
          <w:b/>
          <w:sz w:val="36"/>
          <w:szCs w:val="21"/>
        </w:rPr>
      </w:pPr>
      <w:r>
        <w:rPr>
          <w:rFonts w:hint="eastAsia" w:ascii="仿宋" w:hAnsi="仿宋" w:eastAsia="仿宋" w:cs="仿宋"/>
          <w:b/>
          <w:sz w:val="36"/>
          <w:szCs w:val="21"/>
        </w:rPr>
        <w:t>项 目 名 称：</w:t>
      </w:r>
      <w:r>
        <w:rPr>
          <w:rFonts w:hint="eastAsia" w:ascii="仿宋" w:hAnsi="仿宋" w:eastAsia="仿宋" w:cs="仿宋"/>
          <w:b/>
          <w:sz w:val="36"/>
          <w:szCs w:val="21"/>
          <w:u w:val="single"/>
        </w:rPr>
        <w:t xml:space="preserve">               </w:t>
      </w:r>
    </w:p>
    <w:p w14:paraId="7359D3CA">
      <w:pPr>
        <w:ind w:firstLine="1084" w:firstLineChars="300"/>
        <w:rPr>
          <w:rFonts w:ascii="仿宋" w:hAnsi="仿宋" w:eastAsia="仿宋" w:cs="仿宋"/>
          <w:b/>
          <w:sz w:val="36"/>
          <w:szCs w:val="21"/>
          <w:u w:val="single"/>
        </w:rPr>
      </w:pPr>
      <w:r>
        <w:rPr>
          <w:rFonts w:hint="eastAsia" w:ascii="仿宋" w:hAnsi="仿宋" w:eastAsia="仿宋" w:cs="仿宋"/>
          <w:b/>
          <w:sz w:val="36"/>
          <w:szCs w:val="21"/>
        </w:rPr>
        <w:t>项 目 编 号：</w:t>
      </w:r>
      <w:r>
        <w:rPr>
          <w:rFonts w:hint="eastAsia" w:ascii="仿宋" w:hAnsi="仿宋" w:eastAsia="仿宋" w:cs="仿宋"/>
          <w:b/>
          <w:sz w:val="36"/>
          <w:szCs w:val="21"/>
          <w:u w:val="single"/>
        </w:rPr>
        <w:t xml:space="preserve">               </w:t>
      </w:r>
    </w:p>
    <w:p w14:paraId="59E84B68">
      <w:pPr>
        <w:rPr>
          <w:rFonts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（加盖CA电子公章）</w:t>
      </w:r>
    </w:p>
    <w:p w14:paraId="25B27F76">
      <w:pPr>
        <w:rPr>
          <w:rFonts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p>
    <w:p w14:paraId="0CB8BF45">
      <w:pPr>
        <w:spacing w:line="440" w:lineRule="exact"/>
        <w:jc w:val="center"/>
        <w:rPr>
          <w:rFonts w:ascii="仿宋" w:hAnsi="仿宋" w:eastAsia="仿宋" w:cs="仿宋"/>
          <w:b/>
          <w:bCs/>
          <w:sz w:val="32"/>
          <w:szCs w:val="32"/>
        </w:rPr>
      </w:pPr>
    </w:p>
    <w:p w14:paraId="620BCC39">
      <w:pPr>
        <w:spacing w:line="440" w:lineRule="exact"/>
        <w:rPr>
          <w:rFonts w:ascii="仿宋" w:hAnsi="仿宋" w:eastAsia="仿宋" w:cs="仿宋"/>
          <w:szCs w:val="21"/>
        </w:rPr>
      </w:pPr>
    </w:p>
    <w:p w14:paraId="71FE0248">
      <w:pPr>
        <w:spacing w:line="440" w:lineRule="exact"/>
        <w:jc w:val="center"/>
        <w:rPr>
          <w:rFonts w:ascii="仿宋" w:hAnsi="仿宋" w:eastAsia="仿宋" w:cs="仿宋"/>
          <w:b/>
          <w:bCs/>
          <w:sz w:val="32"/>
          <w:szCs w:val="32"/>
        </w:rPr>
      </w:pPr>
      <w:r>
        <w:rPr>
          <w:rFonts w:hint="eastAsia" w:ascii="仿宋" w:hAnsi="仿宋" w:eastAsia="仿宋" w:cs="仿宋"/>
          <w:b/>
          <w:bCs/>
          <w:sz w:val="32"/>
          <w:szCs w:val="32"/>
        </w:rPr>
        <w:t>响应文件的组成</w:t>
      </w:r>
    </w:p>
    <w:p w14:paraId="756A754B">
      <w:pPr>
        <w:spacing w:line="440" w:lineRule="exact"/>
        <w:jc w:val="center"/>
        <w:rPr>
          <w:rFonts w:ascii="仿宋" w:hAnsi="仿宋" w:eastAsia="仿宋" w:cs="仿宋"/>
          <w:b/>
          <w:bCs/>
          <w:sz w:val="32"/>
          <w:szCs w:val="32"/>
        </w:rPr>
      </w:pPr>
    </w:p>
    <w:p w14:paraId="69EA7BE5">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一、基本目录</w:t>
      </w:r>
    </w:p>
    <w:p w14:paraId="5B1D860D">
      <w:pPr>
        <w:spacing w:line="500" w:lineRule="exact"/>
        <w:ind w:left="480"/>
        <w:rPr>
          <w:rFonts w:ascii="仿宋" w:hAnsi="仿宋" w:eastAsia="仿宋" w:cs="仿宋"/>
          <w:sz w:val="24"/>
          <w:szCs w:val="21"/>
        </w:rPr>
      </w:pPr>
      <w:r>
        <w:rPr>
          <w:rFonts w:hint="eastAsia" w:ascii="仿宋" w:hAnsi="仿宋" w:eastAsia="仿宋" w:cs="仿宋"/>
          <w:sz w:val="24"/>
          <w:szCs w:val="21"/>
        </w:rPr>
        <w:t>1.磋商报价表</w:t>
      </w:r>
    </w:p>
    <w:p w14:paraId="131E3462">
      <w:pPr>
        <w:spacing w:line="500" w:lineRule="exact"/>
        <w:ind w:left="480"/>
        <w:rPr>
          <w:rFonts w:ascii="仿宋" w:hAnsi="仿宋" w:eastAsia="仿宋" w:cs="仿宋"/>
          <w:sz w:val="24"/>
          <w:szCs w:val="21"/>
        </w:rPr>
      </w:pPr>
      <w:r>
        <w:rPr>
          <w:rFonts w:hint="eastAsia" w:ascii="仿宋" w:hAnsi="仿宋" w:eastAsia="仿宋" w:cs="仿宋"/>
          <w:sz w:val="24"/>
          <w:szCs w:val="21"/>
        </w:rPr>
        <w:t>2.分项报价表（格式见附件1）</w:t>
      </w:r>
    </w:p>
    <w:p w14:paraId="4525ABB0">
      <w:pPr>
        <w:keepNext/>
        <w:keepLines/>
        <w:spacing w:before="145" w:beforeLines="50" w:after="145" w:afterLines="50" w:line="360" w:lineRule="auto"/>
        <w:ind w:firstLine="436" w:firstLineChars="155"/>
        <w:outlineLvl w:val="2"/>
        <w:rPr>
          <w:rFonts w:ascii="仿宋" w:hAnsi="仿宋" w:eastAsia="仿宋" w:cs="仿宋"/>
          <w:b/>
          <w:sz w:val="28"/>
          <w:szCs w:val="28"/>
        </w:rPr>
      </w:pPr>
      <w:r>
        <w:rPr>
          <w:rFonts w:hint="eastAsia" w:ascii="仿宋" w:hAnsi="仿宋" w:eastAsia="仿宋" w:cs="仿宋"/>
          <w:b/>
          <w:sz w:val="28"/>
          <w:szCs w:val="28"/>
        </w:rPr>
        <w:t>二、资格审查内容</w:t>
      </w:r>
    </w:p>
    <w:p w14:paraId="21185AC7">
      <w:pPr>
        <w:spacing w:line="500" w:lineRule="exact"/>
        <w:ind w:left="480"/>
        <w:rPr>
          <w:rFonts w:ascii="仿宋" w:hAnsi="仿宋" w:eastAsia="仿宋" w:cs="仿宋"/>
          <w:sz w:val="24"/>
          <w:szCs w:val="21"/>
        </w:rPr>
      </w:pPr>
      <w:r>
        <w:rPr>
          <w:rFonts w:hint="eastAsia" w:ascii="仿宋" w:hAnsi="仿宋" w:eastAsia="仿宋" w:cs="仿宋"/>
          <w:sz w:val="24"/>
          <w:szCs w:val="21"/>
        </w:rPr>
        <w:t>1.投标人符合《中华人民共和国政府采购法》第二十二条规定条件的声明函（</w:t>
      </w:r>
      <w:r>
        <w:rPr>
          <w:rFonts w:hint="eastAsia" w:ascii="仿宋" w:hAnsi="仿宋" w:eastAsia="仿宋" w:cs="仿宋"/>
          <w:sz w:val="24"/>
          <w:szCs w:val="21"/>
          <w:lang w:val="zh-CN"/>
        </w:rPr>
        <w:t>格式见附件</w:t>
      </w:r>
      <w:r>
        <w:rPr>
          <w:rFonts w:hint="eastAsia" w:ascii="仿宋" w:hAnsi="仿宋" w:eastAsia="仿宋" w:cs="仿宋"/>
          <w:sz w:val="24"/>
          <w:szCs w:val="21"/>
        </w:rPr>
        <w:t>2）</w:t>
      </w:r>
    </w:p>
    <w:p w14:paraId="1CC696A4">
      <w:pPr>
        <w:spacing w:line="500" w:lineRule="exact"/>
        <w:ind w:left="480"/>
        <w:rPr>
          <w:rFonts w:ascii="仿宋" w:hAnsi="仿宋" w:eastAsia="仿宋" w:cs="仿宋"/>
          <w:sz w:val="24"/>
          <w:szCs w:val="21"/>
        </w:rPr>
      </w:pPr>
      <w:r>
        <w:rPr>
          <w:rFonts w:hint="eastAsia" w:ascii="仿宋" w:hAnsi="仿宋" w:eastAsia="仿宋" w:cs="仿宋"/>
          <w:sz w:val="24"/>
          <w:szCs w:val="21"/>
        </w:rPr>
        <w:t>2.法定代表人身份证明（格式见附件3）、</w:t>
      </w:r>
      <w:r>
        <w:rPr>
          <w:rFonts w:hint="eastAsia" w:ascii="仿宋" w:hAnsi="仿宋" w:eastAsia="仿宋" w:cs="仿宋"/>
          <w:sz w:val="24"/>
          <w:szCs w:val="21"/>
          <w:lang w:val="zh-CN"/>
        </w:rPr>
        <w:t>法定代表人的身份证</w:t>
      </w:r>
      <w:r>
        <w:rPr>
          <w:rFonts w:hint="eastAsia" w:ascii="仿宋" w:hAnsi="仿宋" w:eastAsia="仿宋" w:cs="仿宋"/>
          <w:sz w:val="24"/>
          <w:szCs w:val="21"/>
        </w:rPr>
        <w:t>扫描件</w:t>
      </w:r>
    </w:p>
    <w:p w14:paraId="5C0B2EDF">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3.法人授权书（格式见附件4）、被授权</w:t>
      </w:r>
      <w:r>
        <w:rPr>
          <w:rFonts w:hint="eastAsia" w:ascii="仿宋" w:hAnsi="仿宋" w:eastAsia="仿宋" w:cs="仿宋"/>
          <w:sz w:val="24"/>
          <w:szCs w:val="21"/>
          <w:lang w:val="zh-CN"/>
        </w:rPr>
        <w:t>人身份证</w:t>
      </w:r>
      <w:r>
        <w:rPr>
          <w:rFonts w:hint="eastAsia" w:ascii="仿宋" w:hAnsi="仿宋" w:eastAsia="仿宋" w:cs="仿宋"/>
          <w:sz w:val="24"/>
          <w:szCs w:val="21"/>
        </w:rPr>
        <w:t>扫描件</w:t>
      </w:r>
    </w:p>
    <w:p w14:paraId="58C097A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4.磋商响应函（格式见附件5）</w:t>
      </w:r>
    </w:p>
    <w:p w14:paraId="393B8D6B">
      <w:pPr>
        <w:spacing w:line="500" w:lineRule="exact"/>
        <w:ind w:firstLine="480" w:firstLineChars="200"/>
        <w:rPr>
          <w:rFonts w:ascii="仿宋" w:hAnsi="仿宋" w:eastAsia="仿宋" w:cs="仿宋"/>
          <w:sz w:val="24"/>
          <w:szCs w:val="21"/>
          <w:highlight w:val="cyan"/>
        </w:rPr>
      </w:pPr>
      <w:r>
        <w:rPr>
          <w:rFonts w:hint="eastAsia" w:ascii="仿宋" w:hAnsi="仿宋" w:eastAsia="仿宋" w:cs="仿宋"/>
          <w:sz w:val="24"/>
          <w:szCs w:val="21"/>
        </w:rPr>
        <w:t>5.中小企业声明函（如果本项目专门面向中小微型企业采购，则必须提供。格式见附件6。）</w:t>
      </w:r>
    </w:p>
    <w:p w14:paraId="6AF3F488">
      <w:pPr>
        <w:spacing w:line="500" w:lineRule="exact"/>
        <w:ind w:firstLine="480" w:firstLineChars="200"/>
        <w:rPr>
          <w:rFonts w:ascii="仿宋" w:hAnsi="仿宋" w:eastAsia="仿宋" w:cs="仿宋"/>
          <w:sz w:val="24"/>
          <w:szCs w:val="21"/>
          <w:highlight w:val="green"/>
        </w:rPr>
      </w:pPr>
      <w:r>
        <w:rPr>
          <w:rFonts w:hint="eastAsia" w:ascii="仿宋" w:hAnsi="仿宋" w:eastAsia="仿宋" w:cs="仿宋"/>
          <w:sz w:val="24"/>
          <w:szCs w:val="21"/>
        </w:rPr>
        <w:t>6.残疾人福利性单位声明函（如果本项目专门面向中小微型企业采购，供应商为残疾人福利性单位并提供本单位制造的货物，或者提供其他残疾人福利性单位制造的货物，则必须提供。格式见附件7。）</w:t>
      </w:r>
    </w:p>
    <w:p w14:paraId="5DE2D627">
      <w:pPr>
        <w:spacing w:line="500" w:lineRule="exact"/>
        <w:ind w:firstLine="480" w:firstLineChars="200"/>
        <w:rPr>
          <w:rFonts w:ascii="仿宋" w:hAnsi="仿宋" w:eastAsia="仿宋" w:cs="仿宋"/>
          <w:color w:val="0000FF"/>
          <w:sz w:val="24"/>
          <w:szCs w:val="21"/>
        </w:rPr>
      </w:pPr>
      <w:r>
        <w:rPr>
          <w:rFonts w:hint="eastAsia" w:ascii="仿宋" w:hAnsi="仿宋" w:eastAsia="仿宋" w:cs="仿宋"/>
          <w:sz w:val="24"/>
          <w:szCs w:val="21"/>
        </w:rPr>
        <w:t>7.监狱和戒毒企业证明材料</w:t>
      </w:r>
      <w:r>
        <w:rPr>
          <w:rFonts w:hint="eastAsia" w:ascii="仿宋" w:hAnsi="仿宋" w:eastAsia="仿宋" w:cs="仿宋"/>
          <w:sz w:val="24"/>
          <w:szCs w:val="21"/>
          <w:lang w:val="zh-CN"/>
        </w:rPr>
        <w:t>（</w:t>
      </w:r>
      <w:r>
        <w:rPr>
          <w:rFonts w:hint="eastAsia" w:ascii="仿宋" w:hAnsi="仿宋" w:eastAsia="仿宋" w:cs="仿宋"/>
          <w:sz w:val="24"/>
          <w:szCs w:val="21"/>
        </w:rPr>
        <w:t>如果本项目专门面向中小微型企业采购，供应商为监狱和戒毒企业的，则必须提供。格式见附件8。）</w:t>
      </w:r>
    </w:p>
    <w:p w14:paraId="34E8D01E">
      <w:pPr>
        <w:spacing w:line="400" w:lineRule="exact"/>
        <w:ind w:firstLine="480" w:firstLineChars="200"/>
        <w:rPr>
          <w:rFonts w:ascii="仿宋" w:hAnsi="仿宋" w:eastAsia="仿宋" w:cs="仿宋"/>
        </w:rPr>
      </w:pPr>
      <w:r>
        <w:rPr>
          <w:rFonts w:hint="eastAsia" w:ascii="仿宋" w:hAnsi="仿宋" w:eastAsia="仿宋" w:cs="仿宋"/>
          <w:sz w:val="24"/>
          <w:szCs w:val="21"/>
        </w:rPr>
        <w:t>8.</w:t>
      </w:r>
      <w:r>
        <w:rPr>
          <w:rFonts w:hint="eastAsia" w:ascii="仿宋" w:hAnsi="仿宋" w:eastAsia="仿宋" w:cs="仿宋"/>
          <w:sz w:val="24"/>
          <w:szCs w:val="21"/>
          <w:lang w:val="zh-CN"/>
        </w:rPr>
        <w:t>其它需要提交的资格审查证明材料。</w:t>
      </w:r>
    </w:p>
    <w:p w14:paraId="4E73D1E5">
      <w:pPr>
        <w:spacing w:line="500" w:lineRule="exact"/>
        <w:ind w:left="480"/>
        <w:rPr>
          <w:rFonts w:ascii="仿宋" w:hAnsi="仿宋" w:eastAsia="仿宋" w:cs="仿宋"/>
          <w:b/>
          <w:sz w:val="28"/>
          <w:szCs w:val="28"/>
        </w:rPr>
      </w:pPr>
      <w:r>
        <w:rPr>
          <w:rFonts w:hint="eastAsia" w:ascii="仿宋" w:hAnsi="仿宋" w:eastAsia="仿宋" w:cs="仿宋"/>
          <w:b/>
          <w:sz w:val="28"/>
          <w:szCs w:val="28"/>
        </w:rPr>
        <w:t>三、符合性审查内容</w:t>
      </w:r>
    </w:p>
    <w:p w14:paraId="486864D2">
      <w:pPr>
        <w:spacing w:line="500" w:lineRule="exact"/>
        <w:ind w:left="480"/>
        <w:rPr>
          <w:rFonts w:ascii="仿宋" w:hAnsi="仿宋" w:eastAsia="仿宋" w:cs="仿宋"/>
          <w:sz w:val="24"/>
          <w:szCs w:val="21"/>
        </w:rPr>
      </w:pPr>
      <w:r>
        <w:rPr>
          <w:rFonts w:hint="eastAsia" w:ascii="仿宋" w:hAnsi="仿宋" w:eastAsia="仿宋" w:cs="仿宋"/>
          <w:sz w:val="24"/>
          <w:szCs w:val="21"/>
        </w:rPr>
        <w:t>1.技术要求响应及偏离表（格式见附件9）</w:t>
      </w:r>
    </w:p>
    <w:p w14:paraId="0090E8B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2.商务要求响应及偏离表（格式见附件10）</w:t>
      </w:r>
    </w:p>
    <w:p w14:paraId="29B7190B">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3.实质性要求响应及偏离表（格式见附件11），供应商必须对技术要求和商务要求中加斜体下划线的实质性要求做出响应，并按照磋商文件要求提供证明材料，否则做无效响应处理。</w:t>
      </w:r>
    </w:p>
    <w:p w14:paraId="6798AD91">
      <w:pPr>
        <w:spacing w:line="500" w:lineRule="exact"/>
        <w:ind w:left="480"/>
        <w:rPr>
          <w:rFonts w:ascii="仿宋" w:hAnsi="仿宋" w:eastAsia="仿宋" w:cs="仿宋"/>
          <w:b/>
          <w:sz w:val="28"/>
          <w:szCs w:val="28"/>
        </w:rPr>
      </w:pPr>
      <w:r>
        <w:rPr>
          <w:rFonts w:hint="eastAsia" w:ascii="仿宋" w:hAnsi="仿宋" w:eastAsia="仿宋" w:cs="仿宋"/>
          <w:b/>
          <w:sz w:val="28"/>
          <w:szCs w:val="28"/>
        </w:rPr>
        <w:t>四、</w:t>
      </w:r>
      <w:r>
        <w:rPr>
          <w:rFonts w:hint="eastAsia" w:ascii="仿宋" w:hAnsi="仿宋" w:eastAsia="仿宋" w:cs="仿宋"/>
          <w:b/>
          <w:sz w:val="28"/>
          <w:szCs w:val="28"/>
          <w:lang w:val="zh-CN"/>
        </w:rPr>
        <w:t>商务技术</w:t>
      </w:r>
      <w:r>
        <w:rPr>
          <w:rFonts w:hint="eastAsia" w:ascii="仿宋" w:hAnsi="仿宋" w:eastAsia="仿宋" w:cs="仿宋"/>
          <w:b/>
          <w:sz w:val="28"/>
          <w:szCs w:val="28"/>
        </w:rPr>
        <w:t>分</w:t>
      </w:r>
      <w:r>
        <w:rPr>
          <w:rFonts w:hint="eastAsia" w:ascii="仿宋" w:hAnsi="仿宋" w:eastAsia="仿宋" w:cs="仿宋"/>
          <w:b/>
          <w:sz w:val="28"/>
          <w:szCs w:val="28"/>
          <w:lang w:val="zh-CN"/>
        </w:rPr>
        <w:t>内</w:t>
      </w:r>
      <w:r>
        <w:rPr>
          <w:rFonts w:hint="eastAsia" w:ascii="仿宋" w:hAnsi="仿宋" w:eastAsia="仿宋" w:cs="仿宋"/>
          <w:b/>
          <w:sz w:val="28"/>
          <w:szCs w:val="28"/>
        </w:rPr>
        <w:t xml:space="preserve">容 </w:t>
      </w:r>
    </w:p>
    <w:p w14:paraId="015869C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w:t>
      </w:r>
      <w:r>
        <w:rPr>
          <w:rFonts w:hint="eastAsia" w:ascii="仿宋" w:hAnsi="仿宋" w:eastAsia="仿宋" w:cs="仿宋"/>
          <w:sz w:val="24"/>
          <w:szCs w:val="21"/>
          <w:lang w:val="zh-CN"/>
        </w:rPr>
        <w:t>商务技术评分标准中须提供的相关得分佐证材料</w:t>
      </w:r>
    </w:p>
    <w:p w14:paraId="24B84FD7">
      <w:pPr>
        <w:spacing w:line="500" w:lineRule="exact"/>
        <w:ind w:firstLine="480" w:firstLineChars="200"/>
        <w:rPr>
          <w:rFonts w:ascii="仿宋" w:hAnsi="仿宋" w:eastAsia="仿宋" w:cs="仿宋"/>
        </w:rPr>
      </w:pPr>
      <w:r>
        <w:rPr>
          <w:rFonts w:hint="eastAsia" w:ascii="仿宋" w:hAnsi="仿宋" w:eastAsia="仿宋" w:cs="仿宋"/>
          <w:sz w:val="24"/>
          <w:szCs w:val="21"/>
        </w:rPr>
        <w:t>2.</w:t>
      </w:r>
      <w:r>
        <w:rPr>
          <w:rFonts w:hint="eastAsia" w:ascii="仿宋" w:hAnsi="仿宋" w:eastAsia="仿宋" w:cs="仿宋"/>
          <w:sz w:val="24"/>
          <w:szCs w:val="21"/>
          <w:lang w:val="zh-CN"/>
        </w:rPr>
        <w:t>供应商认为需要提交的其他商务技术材料。</w:t>
      </w:r>
    </w:p>
    <w:p w14:paraId="51FFC88F">
      <w:pPr>
        <w:spacing w:line="500" w:lineRule="exact"/>
        <w:ind w:left="480"/>
        <w:rPr>
          <w:rFonts w:ascii="仿宋" w:hAnsi="仿宋" w:eastAsia="仿宋" w:cs="仿宋"/>
          <w:b/>
          <w:sz w:val="28"/>
          <w:szCs w:val="28"/>
        </w:rPr>
      </w:pPr>
      <w:r>
        <w:rPr>
          <w:rFonts w:hint="eastAsia" w:ascii="仿宋" w:hAnsi="仿宋" w:eastAsia="仿宋" w:cs="仿宋"/>
          <w:b/>
          <w:sz w:val="28"/>
          <w:szCs w:val="28"/>
        </w:rPr>
        <w:t>五、价格扣除证明文件</w:t>
      </w:r>
    </w:p>
    <w:p w14:paraId="2556A6B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1.中小企业声明函（格式见附件6）</w:t>
      </w:r>
    </w:p>
    <w:p w14:paraId="2A60490C">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2.残疾人福利性单位声明函（格式见附件7）</w:t>
      </w:r>
    </w:p>
    <w:p w14:paraId="4269B54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3.监狱和戒毒企业证明材料</w:t>
      </w:r>
      <w:r>
        <w:rPr>
          <w:rFonts w:hint="eastAsia" w:ascii="仿宋" w:hAnsi="仿宋" w:eastAsia="仿宋" w:cs="仿宋"/>
          <w:sz w:val="24"/>
          <w:szCs w:val="21"/>
          <w:lang w:val="zh-CN"/>
        </w:rPr>
        <w:t>（格式见附件</w:t>
      </w:r>
      <w:r>
        <w:rPr>
          <w:rFonts w:hint="eastAsia" w:ascii="仿宋" w:hAnsi="仿宋" w:eastAsia="仿宋" w:cs="仿宋"/>
          <w:sz w:val="24"/>
          <w:szCs w:val="21"/>
        </w:rPr>
        <w:t>8</w:t>
      </w:r>
      <w:r>
        <w:rPr>
          <w:rFonts w:hint="eastAsia" w:ascii="仿宋" w:hAnsi="仿宋" w:eastAsia="仿宋" w:cs="仿宋"/>
          <w:sz w:val="24"/>
          <w:szCs w:val="21"/>
          <w:lang w:val="zh-CN"/>
        </w:rPr>
        <w:t>）</w:t>
      </w:r>
    </w:p>
    <w:p w14:paraId="1C85D6D5">
      <w:pPr>
        <w:spacing w:line="500" w:lineRule="exact"/>
        <w:ind w:left="480"/>
        <w:rPr>
          <w:rFonts w:ascii="仿宋" w:hAnsi="仿宋" w:eastAsia="仿宋" w:cs="仿宋"/>
          <w:b/>
          <w:sz w:val="24"/>
          <w:szCs w:val="21"/>
        </w:rPr>
      </w:pPr>
    </w:p>
    <w:p w14:paraId="214271E1">
      <w:pPr>
        <w:rPr>
          <w:rFonts w:ascii="仿宋" w:hAnsi="仿宋" w:eastAsia="仿宋" w:cs="仿宋"/>
          <w:b/>
          <w:bCs/>
          <w:sz w:val="24"/>
          <w:szCs w:val="21"/>
          <w:highlight w:val="cyan"/>
        </w:rPr>
      </w:pPr>
      <w:r>
        <w:rPr>
          <w:rFonts w:hint="eastAsia" w:ascii="仿宋" w:hAnsi="仿宋" w:eastAsia="仿宋" w:cs="仿宋"/>
          <w:b/>
          <w:sz w:val="28"/>
          <w:szCs w:val="28"/>
        </w:rPr>
        <w:br w:type="page"/>
      </w:r>
    </w:p>
    <w:p w14:paraId="7406B1D8">
      <w:pPr>
        <w:spacing w:line="400" w:lineRule="exact"/>
        <w:ind w:left="480"/>
        <w:rPr>
          <w:rFonts w:ascii="仿宋" w:hAnsi="仿宋" w:eastAsia="仿宋" w:cs="仿宋"/>
          <w:b/>
          <w:sz w:val="28"/>
          <w:szCs w:val="28"/>
        </w:rPr>
      </w:pPr>
      <w:r>
        <w:rPr>
          <w:rFonts w:hint="eastAsia" w:ascii="仿宋" w:hAnsi="仿宋" w:eastAsia="仿宋" w:cs="仿宋"/>
          <w:b/>
          <w:sz w:val="28"/>
          <w:szCs w:val="28"/>
        </w:rPr>
        <w:t xml:space="preserve">附件1              </w:t>
      </w:r>
    </w:p>
    <w:p w14:paraId="0E1B47DD">
      <w:pPr>
        <w:spacing w:line="400" w:lineRule="exact"/>
        <w:ind w:left="480"/>
        <w:jc w:val="center"/>
        <w:rPr>
          <w:rFonts w:ascii="仿宋" w:hAnsi="仿宋" w:eastAsia="仿宋" w:cs="仿宋"/>
          <w:b/>
          <w:sz w:val="28"/>
          <w:szCs w:val="28"/>
        </w:rPr>
      </w:pPr>
      <w:r>
        <w:rPr>
          <w:rFonts w:hint="eastAsia" w:ascii="仿宋" w:hAnsi="仿宋" w:eastAsia="仿宋" w:cs="仿宋"/>
          <w:b/>
          <w:sz w:val="28"/>
          <w:szCs w:val="28"/>
        </w:rPr>
        <w:t>分项报价表（服务类项目）</w:t>
      </w:r>
    </w:p>
    <w:p w14:paraId="5E938D69">
      <w:pPr>
        <w:pStyle w:val="12"/>
        <w:rPr>
          <w:rFonts w:ascii="仿宋" w:hAnsi="仿宋" w:eastAsia="仿宋" w:cs="仿宋"/>
        </w:rPr>
      </w:pPr>
    </w:p>
    <w:tbl>
      <w:tblPr>
        <w:tblStyle w:val="1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78D9F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vAlign w:val="center"/>
          </w:tcPr>
          <w:p w14:paraId="1A3C4DF8">
            <w:pPr>
              <w:spacing w:line="0" w:lineRule="atLeast"/>
              <w:jc w:val="center"/>
              <w:rPr>
                <w:rFonts w:ascii="仿宋" w:hAnsi="仿宋" w:eastAsia="仿宋" w:cs="仿宋"/>
                <w:sz w:val="24"/>
                <w:szCs w:val="24"/>
              </w:rPr>
            </w:pPr>
            <w:r>
              <w:rPr>
                <w:rFonts w:hint="eastAsia" w:ascii="仿宋" w:hAnsi="仿宋" w:eastAsia="仿宋" w:cs="仿宋"/>
                <w:sz w:val="24"/>
                <w:szCs w:val="24"/>
              </w:rPr>
              <w:t>序号</w:t>
            </w:r>
          </w:p>
        </w:tc>
        <w:tc>
          <w:tcPr>
            <w:tcW w:w="1321" w:type="dxa"/>
            <w:vAlign w:val="center"/>
          </w:tcPr>
          <w:p w14:paraId="62A4C35C">
            <w:pPr>
              <w:spacing w:line="0" w:lineRule="atLeast"/>
              <w:jc w:val="center"/>
              <w:rPr>
                <w:rFonts w:ascii="仿宋" w:hAnsi="仿宋" w:eastAsia="仿宋" w:cs="仿宋"/>
                <w:sz w:val="24"/>
                <w:szCs w:val="24"/>
              </w:rPr>
            </w:pPr>
            <w:r>
              <w:rPr>
                <w:rFonts w:hint="eastAsia" w:ascii="仿宋" w:hAnsi="仿宋" w:eastAsia="仿宋" w:cs="仿宋"/>
                <w:sz w:val="24"/>
                <w:szCs w:val="24"/>
              </w:rPr>
              <w:t>名称</w:t>
            </w:r>
          </w:p>
        </w:tc>
        <w:tc>
          <w:tcPr>
            <w:tcW w:w="1417" w:type="dxa"/>
            <w:vAlign w:val="center"/>
          </w:tcPr>
          <w:p w14:paraId="00D26012">
            <w:pPr>
              <w:spacing w:line="0" w:lineRule="atLeast"/>
              <w:jc w:val="center"/>
              <w:rPr>
                <w:rFonts w:ascii="仿宋" w:hAnsi="仿宋" w:eastAsia="仿宋" w:cs="仿宋"/>
                <w:sz w:val="24"/>
                <w:szCs w:val="24"/>
              </w:rPr>
            </w:pPr>
            <w:r>
              <w:rPr>
                <w:rFonts w:hint="eastAsia" w:ascii="仿宋" w:hAnsi="仿宋" w:eastAsia="仿宋" w:cs="仿宋"/>
                <w:sz w:val="24"/>
                <w:szCs w:val="24"/>
              </w:rPr>
              <w:t>服务范围</w:t>
            </w:r>
          </w:p>
        </w:tc>
        <w:tc>
          <w:tcPr>
            <w:tcW w:w="1418" w:type="dxa"/>
            <w:vAlign w:val="center"/>
          </w:tcPr>
          <w:p w14:paraId="6E1D8A4A">
            <w:pPr>
              <w:spacing w:line="0" w:lineRule="atLeast"/>
              <w:jc w:val="center"/>
              <w:rPr>
                <w:rFonts w:ascii="仿宋" w:hAnsi="仿宋" w:eastAsia="仿宋" w:cs="仿宋"/>
                <w:sz w:val="24"/>
                <w:szCs w:val="24"/>
              </w:rPr>
            </w:pPr>
            <w:r>
              <w:rPr>
                <w:rFonts w:hint="eastAsia" w:ascii="仿宋" w:hAnsi="仿宋" w:eastAsia="仿宋" w:cs="仿宋"/>
                <w:sz w:val="24"/>
                <w:szCs w:val="24"/>
              </w:rPr>
              <w:t>服务要求</w:t>
            </w:r>
          </w:p>
        </w:tc>
        <w:tc>
          <w:tcPr>
            <w:tcW w:w="1275" w:type="dxa"/>
            <w:vAlign w:val="center"/>
          </w:tcPr>
          <w:p w14:paraId="64B90167">
            <w:pPr>
              <w:spacing w:line="0" w:lineRule="atLeast"/>
              <w:jc w:val="center"/>
              <w:rPr>
                <w:rFonts w:ascii="仿宋" w:hAnsi="仿宋" w:eastAsia="仿宋" w:cs="仿宋"/>
                <w:sz w:val="24"/>
                <w:szCs w:val="24"/>
              </w:rPr>
            </w:pPr>
            <w:r>
              <w:rPr>
                <w:rFonts w:hint="eastAsia" w:ascii="仿宋" w:hAnsi="仿宋" w:eastAsia="仿宋" w:cs="仿宋"/>
                <w:sz w:val="24"/>
                <w:szCs w:val="24"/>
              </w:rPr>
              <w:t>服务时间</w:t>
            </w:r>
          </w:p>
        </w:tc>
        <w:tc>
          <w:tcPr>
            <w:tcW w:w="1276" w:type="dxa"/>
            <w:vAlign w:val="center"/>
          </w:tcPr>
          <w:p w14:paraId="51E21E61">
            <w:pPr>
              <w:spacing w:line="0" w:lineRule="atLeast"/>
              <w:jc w:val="center"/>
              <w:rPr>
                <w:rFonts w:ascii="仿宋" w:hAnsi="仿宋" w:eastAsia="仿宋" w:cs="仿宋"/>
                <w:sz w:val="24"/>
                <w:szCs w:val="24"/>
              </w:rPr>
            </w:pPr>
            <w:r>
              <w:rPr>
                <w:rFonts w:hint="eastAsia" w:ascii="仿宋" w:hAnsi="仿宋" w:eastAsia="仿宋" w:cs="仿宋"/>
                <w:sz w:val="24"/>
                <w:szCs w:val="24"/>
              </w:rPr>
              <w:t>服务标准</w:t>
            </w:r>
          </w:p>
        </w:tc>
        <w:tc>
          <w:tcPr>
            <w:tcW w:w="851" w:type="dxa"/>
            <w:vAlign w:val="center"/>
          </w:tcPr>
          <w:p w14:paraId="5394B090">
            <w:pPr>
              <w:spacing w:line="0" w:lineRule="atLeast"/>
              <w:jc w:val="center"/>
              <w:rPr>
                <w:rFonts w:ascii="仿宋" w:hAnsi="仿宋" w:eastAsia="仿宋" w:cs="仿宋"/>
                <w:sz w:val="24"/>
                <w:szCs w:val="24"/>
              </w:rPr>
            </w:pPr>
            <w:r>
              <w:rPr>
                <w:rFonts w:hint="eastAsia" w:ascii="仿宋" w:hAnsi="仿宋" w:eastAsia="仿宋" w:cs="仿宋"/>
                <w:sz w:val="24"/>
                <w:szCs w:val="24"/>
              </w:rPr>
              <w:t>金额</w:t>
            </w:r>
          </w:p>
        </w:tc>
        <w:tc>
          <w:tcPr>
            <w:tcW w:w="1151" w:type="dxa"/>
            <w:vAlign w:val="center"/>
          </w:tcPr>
          <w:p w14:paraId="29CFCDAD">
            <w:pPr>
              <w:spacing w:line="0" w:lineRule="atLeast"/>
              <w:jc w:val="center"/>
              <w:rPr>
                <w:rFonts w:ascii="仿宋" w:hAnsi="仿宋" w:eastAsia="仿宋" w:cs="仿宋"/>
                <w:sz w:val="24"/>
                <w:szCs w:val="24"/>
              </w:rPr>
            </w:pPr>
            <w:r>
              <w:rPr>
                <w:rFonts w:hint="eastAsia" w:ascii="仿宋" w:hAnsi="仿宋" w:eastAsia="仿宋" w:cs="仿宋"/>
                <w:sz w:val="24"/>
                <w:szCs w:val="24"/>
              </w:rPr>
              <w:t>备注</w:t>
            </w:r>
          </w:p>
        </w:tc>
      </w:tr>
      <w:tr w14:paraId="1286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vAlign w:val="center"/>
          </w:tcPr>
          <w:p w14:paraId="7AC7357C">
            <w:pPr>
              <w:spacing w:line="0" w:lineRule="atLeast"/>
              <w:jc w:val="center"/>
              <w:rPr>
                <w:rFonts w:ascii="仿宋" w:hAnsi="仿宋" w:eastAsia="仿宋" w:cs="仿宋"/>
                <w:sz w:val="24"/>
                <w:szCs w:val="24"/>
              </w:rPr>
            </w:pPr>
            <w:r>
              <w:rPr>
                <w:rFonts w:hint="eastAsia" w:ascii="仿宋" w:hAnsi="仿宋" w:eastAsia="仿宋" w:cs="仿宋"/>
                <w:sz w:val="24"/>
                <w:szCs w:val="24"/>
              </w:rPr>
              <w:t>1</w:t>
            </w:r>
          </w:p>
        </w:tc>
        <w:tc>
          <w:tcPr>
            <w:tcW w:w="1321" w:type="dxa"/>
            <w:vAlign w:val="center"/>
          </w:tcPr>
          <w:p w14:paraId="51963CD1">
            <w:pPr>
              <w:spacing w:line="0" w:lineRule="atLeast"/>
              <w:jc w:val="center"/>
              <w:rPr>
                <w:rFonts w:ascii="仿宋" w:hAnsi="仿宋" w:eastAsia="仿宋" w:cs="仿宋"/>
                <w:sz w:val="24"/>
                <w:szCs w:val="24"/>
              </w:rPr>
            </w:pPr>
          </w:p>
        </w:tc>
        <w:tc>
          <w:tcPr>
            <w:tcW w:w="1417" w:type="dxa"/>
            <w:vAlign w:val="center"/>
          </w:tcPr>
          <w:p w14:paraId="67E6E8F2">
            <w:pPr>
              <w:spacing w:line="0" w:lineRule="atLeast"/>
              <w:jc w:val="center"/>
              <w:rPr>
                <w:rFonts w:ascii="仿宋" w:hAnsi="仿宋" w:eastAsia="仿宋" w:cs="仿宋"/>
                <w:sz w:val="24"/>
                <w:szCs w:val="24"/>
              </w:rPr>
            </w:pPr>
          </w:p>
        </w:tc>
        <w:tc>
          <w:tcPr>
            <w:tcW w:w="1418" w:type="dxa"/>
            <w:vAlign w:val="center"/>
          </w:tcPr>
          <w:p w14:paraId="159E062A">
            <w:pPr>
              <w:spacing w:line="0" w:lineRule="atLeast"/>
              <w:jc w:val="center"/>
              <w:rPr>
                <w:rFonts w:ascii="仿宋" w:hAnsi="仿宋" w:eastAsia="仿宋" w:cs="仿宋"/>
                <w:sz w:val="24"/>
                <w:szCs w:val="24"/>
              </w:rPr>
            </w:pPr>
          </w:p>
        </w:tc>
        <w:tc>
          <w:tcPr>
            <w:tcW w:w="1275" w:type="dxa"/>
            <w:vAlign w:val="center"/>
          </w:tcPr>
          <w:p w14:paraId="763B2E39">
            <w:pPr>
              <w:spacing w:line="0" w:lineRule="atLeast"/>
              <w:jc w:val="center"/>
              <w:rPr>
                <w:rFonts w:ascii="仿宋" w:hAnsi="仿宋" w:eastAsia="仿宋" w:cs="仿宋"/>
                <w:sz w:val="24"/>
                <w:szCs w:val="24"/>
              </w:rPr>
            </w:pPr>
          </w:p>
        </w:tc>
        <w:tc>
          <w:tcPr>
            <w:tcW w:w="1276" w:type="dxa"/>
            <w:vAlign w:val="center"/>
          </w:tcPr>
          <w:p w14:paraId="7B6BD051">
            <w:pPr>
              <w:spacing w:line="0" w:lineRule="atLeast"/>
              <w:jc w:val="center"/>
              <w:rPr>
                <w:rFonts w:ascii="仿宋" w:hAnsi="仿宋" w:eastAsia="仿宋" w:cs="仿宋"/>
                <w:sz w:val="24"/>
                <w:szCs w:val="24"/>
              </w:rPr>
            </w:pPr>
          </w:p>
        </w:tc>
        <w:tc>
          <w:tcPr>
            <w:tcW w:w="851" w:type="dxa"/>
            <w:vAlign w:val="center"/>
          </w:tcPr>
          <w:p w14:paraId="0D0E5D48">
            <w:pPr>
              <w:spacing w:line="0" w:lineRule="atLeast"/>
              <w:jc w:val="center"/>
              <w:rPr>
                <w:rFonts w:ascii="仿宋" w:hAnsi="仿宋" w:eastAsia="仿宋" w:cs="仿宋"/>
                <w:sz w:val="24"/>
                <w:szCs w:val="24"/>
              </w:rPr>
            </w:pPr>
          </w:p>
        </w:tc>
        <w:tc>
          <w:tcPr>
            <w:tcW w:w="1151" w:type="dxa"/>
            <w:vAlign w:val="center"/>
          </w:tcPr>
          <w:p w14:paraId="63DB106B">
            <w:pPr>
              <w:spacing w:line="0" w:lineRule="atLeast"/>
              <w:jc w:val="center"/>
              <w:rPr>
                <w:rFonts w:ascii="仿宋" w:hAnsi="仿宋" w:eastAsia="仿宋" w:cs="仿宋"/>
                <w:sz w:val="24"/>
                <w:szCs w:val="24"/>
              </w:rPr>
            </w:pPr>
          </w:p>
        </w:tc>
      </w:tr>
      <w:tr w14:paraId="3F38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vAlign w:val="center"/>
          </w:tcPr>
          <w:p w14:paraId="29DE44A9">
            <w:pPr>
              <w:spacing w:line="0" w:lineRule="atLeast"/>
              <w:jc w:val="center"/>
              <w:rPr>
                <w:rFonts w:ascii="仿宋" w:hAnsi="仿宋" w:eastAsia="仿宋" w:cs="仿宋"/>
                <w:sz w:val="24"/>
                <w:szCs w:val="24"/>
              </w:rPr>
            </w:pPr>
            <w:r>
              <w:rPr>
                <w:rFonts w:hint="eastAsia" w:ascii="仿宋" w:hAnsi="仿宋" w:eastAsia="仿宋" w:cs="仿宋"/>
                <w:sz w:val="24"/>
                <w:szCs w:val="24"/>
              </w:rPr>
              <w:t>2</w:t>
            </w:r>
          </w:p>
        </w:tc>
        <w:tc>
          <w:tcPr>
            <w:tcW w:w="1321" w:type="dxa"/>
            <w:vAlign w:val="center"/>
          </w:tcPr>
          <w:p w14:paraId="75F6F172">
            <w:pPr>
              <w:spacing w:line="0" w:lineRule="atLeast"/>
              <w:jc w:val="center"/>
              <w:rPr>
                <w:rFonts w:ascii="仿宋" w:hAnsi="仿宋" w:eastAsia="仿宋" w:cs="仿宋"/>
                <w:sz w:val="24"/>
                <w:szCs w:val="24"/>
              </w:rPr>
            </w:pPr>
          </w:p>
        </w:tc>
        <w:tc>
          <w:tcPr>
            <w:tcW w:w="1417" w:type="dxa"/>
            <w:vAlign w:val="center"/>
          </w:tcPr>
          <w:p w14:paraId="00B00424">
            <w:pPr>
              <w:spacing w:line="0" w:lineRule="atLeast"/>
              <w:jc w:val="center"/>
              <w:rPr>
                <w:rFonts w:ascii="仿宋" w:hAnsi="仿宋" w:eastAsia="仿宋" w:cs="仿宋"/>
                <w:sz w:val="24"/>
                <w:szCs w:val="24"/>
              </w:rPr>
            </w:pPr>
          </w:p>
        </w:tc>
        <w:tc>
          <w:tcPr>
            <w:tcW w:w="1418" w:type="dxa"/>
            <w:vAlign w:val="center"/>
          </w:tcPr>
          <w:p w14:paraId="2A95261C">
            <w:pPr>
              <w:spacing w:line="0" w:lineRule="atLeast"/>
              <w:jc w:val="center"/>
              <w:rPr>
                <w:rFonts w:ascii="仿宋" w:hAnsi="仿宋" w:eastAsia="仿宋" w:cs="仿宋"/>
                <w:sz w:val="24"/>
                <w:szCs w:val="24"/>
              </w:rPr>
            </w:pPr>
          </w:p>
        </w:tc>
        <w:tc>
          <w:tcPr>
            <w:tcW w:w="1275" w:type="dxa"/>
            <w:vAlign w:val="center"/>
          </w:tcPr>
          <w:p w14:paraId="5A7A5F03">
            <w:pPr>
              <w:spacing w:line="0" w:lineRule="atLeast"/>
              <w:jc w:val="center"/>
              <w:rPr>
                <w:rFonts w:ascii="仿宋" w:hAnsi="仿宋" w:eastAsia="仿宋" w:cs="仿宋"/>
                <w:sz w:val="24"/>
                <w:szCs w:val="24"/>
              </w:rPr>
            </w:pPr>
          </w:p>
        </w:tc>
        <w:tc>
          <w:tcPr>
            <w:tcW w:w="1276" w:type="dxa"/>
            <w:vAlign w:val="center"/>
          </w:tcPr>
          <w:p w14:paraId="57392AA1">
            <w:pPr>
              <w:spacing w:line="0" w:lineRule="atLeast"/>
              <w:jc w:val="center"/>
              <w:rPr>
                <w:rFonts w:ascii="仿宋" w:hAnsi="仿宋" w:eastAsia="仿宋" w:cs="仿宋"/>
                <w:sz w:val="24"/>
                <w:szCs w:val="24"/>
              </w:rPr>
            </w:pPr>
          </w:p>
        </w:tc>
        <w:tc>
          <w:tcPr>
            <w:tcW w:w="851" w:type="dxa"/>
            <w:vAlign w:val="center"/>
          </w:tcPr>
          <w:p w14:paraId="2A521E09">
            <w:pPr>
              <w:spacing w:line="0" w:lineRule="atLeast"/>
              <w:jc w:val="center"/>
              <w:rPr>
                <w:rFonts w:ascii="仿宋" w:hAnsi="仿宋" w:eastAsia="仿宋" w:cs="仿宋"/>
                <w:sz w:val="24"/>
                <w:szCs w:val="24"/>
              </w:rPr>
            </w:pPr>
          </w:p>
        </w:tc>
        <w:tc>
          <w:tcPr>
            <w:tcW w:w="1151" w:type="dxa"/>
            <w:vAlign w:val="center"/>
          </w:tcPr>
          <w:p w14:paraId="7E6AF08E">
            <w:pPr>
              <w:spacing w:line="0" w:lineRule="atLeast"/>
              <w:jc w:val="center"/>
              <w:rPr>
                <w:rFonts w:ascii="仿宋" w:hAnsi="仿宋" w:eastAsia="仿宋" w:cs="仿宋"/>
                <w:sz w:val="24"/>
                <w:szCs w:val="24"/>
              </w:rPr>
            </w:pPr>
          </w:p>
        </w:tc>
      </w:tr>
      <w:tr w14:paraId="267C1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20C76519">
            <w:pPr>
              <w:spacing w:line="0" w:lineRule="atLeast"/>
              <w:jc w:val="center"/>
              <w:rPr>
                <w:rFonts w:ascii="仿宋" w:hAnsi="仿宋" w:eastAsia="仿宋" w:cs="仿宋"/>
                <w:sz w:val="24"/>
                <w:szCs w:val="24"/>
              </w:rPr>
            </w:pPr>
            <w:r>
              <w:rPr>
                <w:rFonts w:hint="eastAsia" w:ascii="仿宋" w:hAnsi="仿宋" w:eastAsia="仿宋" w:cs="仿宋"/>
                <w:sz w:val="24"/>
                <w:szCs w:val="24"/>
              </w:rPr>
              <w:t>3</w:t>
            </w:r>
          </w:p>
        </w:tc>
        <w:tc>
          <w:tcPr>
            <w:tcW w:w="1321" w:type="dxa"/>
            <w:vAlign w:val="center"/>
          </w:tcPr>
          <w:p w14:paraId="1146847C">
            <w:pPr>
              <w:spacing w:line="0" w:lineRule="atLeast"/>
              <w:jc w:val="center"/>
              <w:rPr>
                <w:rFonts w:ascii="仿宋" w:hAnsi="仿宋" w:eastAsia="仿宋" w:cs="仿宋"/>
                <w:sz w:val="24"/>
                <w:szCs w:val="24"/>
              </w:rPr>
            </w:pPr>
          </w:p>
        </w:tc>
        <w:tc>
          <w:tcPr>
            <w:tcW w:w="1417" w:type="dxa"/>
            <w:vAlign w:val="center"/>
          </w:tcPr>
          <w:p w14:paraId="0FE4C642">
            <w:pPr>
              <w:spacing w:line="0" w:lineRule="atLeast"/>
              <w:jc w:val="center"/>
              <w:rPr>
                <w:rFonts w:ascii="仿宋" w:hAnsi="仿宋" w:eastAsia="仿宋" w:cs="仿宋"/>
                <w:sz w:val="24"/>
                <w:szCs w:val="24"/>
              </w:rPr>
            </w:pPr>
          </w:p>
        </w:tc>
        <w:tc>
          <w:tcPr>
            <w:tcW w:w="1418" w:type="dxa"/>
            <w:vAlign w:val="center"/>
          </w:tcPr>
          <w:p w14:paraId="4007469C">
            <w:pPr>
              <w:spacing w:line="0" w:lineRule="atLeast"/>
              <w:jc w:val="center"/>
              <w:rPr>
                <w:rFonts w:ascii="仿宋" w:hAnsi="仿宋" w:eastAsia="仿宋" w:cs="仿宋"/>
                <w:sz w:val="24"/>
                <w:szCs w:val="24"/>
              </w:rPr>
            </w:pPr>
          </w:p>
        </w:tc>
        <w:tc>
          <w:tcPr>
            <w:tcW w:w="1275" w:type="dxa"/>
            <w:vAlign w:val="center"/>
          </w:tcPr>
          <w:p w14:paraId="5A37E382">
            <w:pPr>
              <w:spacing w:line="0" w:lineRule="atLeast"/>
              <w:jc w:val="center"/>
              <w:rPr>
                <w:rFonts w:ascii="仿宋" w:hAnsi="仿宋" w:eastAsia="仿宋" w:cs="仿宋"/>
                <w:sz w:val="24"/>
                <w:szCs w:val="24"/>
              </w:rPr>
            </w:pPr>
          </w:p>
        </w:tc>
        <w:tc>
          <w:tcPr>
            <w:tcW w:w="1276" w:type="dxa"/>
            <w:vAlign w:val="center"/>
          </w:tcPr>
          <w:p w14:paraId="5E895B86">
            <w:pPr>
              <w:spacing w:line="0" w:lineRule="atLeast"/>
              <w:jc w:val="center"/>
              <w:rPr>
                <w:rFonts w:ascii="仿宋" w:hAnsi="仿宋" w:eastAsia="仿宋" w:cs="仿宋"/>
                <w:sz w:val="24"/>
                <w:szCs w:val="24"/>
              </w:rPr>
            </w:pPr>
          </w:p>
        </w:tc>
        <w:tc>
          <w:tcPr>
            <w:tcW w:w="851" w:type="dxa"/>
            <w:vAlign w:val="center"/>
          </w:tcPr>
          <w:p w14:paraId="72BC68BF">
            <w:pPr>
              <w:spacing w:line="0" w:lineRule="atLeast"/>
              <w:jc w:val="center"/>
              <w:rPr>
                <w:rFonts w:ascii="仿宋" w:hAnsi="仿宋" w:eastAsia="仿宋" w:cs="仿宋"/>
                <w:sz w:val="24"/>
                <w:szCs w:val="24"/>
              </w:rPr>
            </w:pPr>
          </w:p>
        </w:tc>
        <w:tc>
          <w:tcPr>
            <w:tcW w:w="1151" w:type="dxa"/>
            <w:vAlign w:val="center"/>
          </w:tcPr>
          <w:p w14:paraId="3FBDB461">
            <w:pPr>
              <w:spacing w:line="0" w:lineRule="atLeast"/>
              <w:jc w:val="center"/>
              <w:rPr>
                <w:rFonts w:ascii="仿宋" w:hAnsi="仿宋" w:eastAsia="仿宋" w:cs="仿宋"/>
                <w:sz w:val="24"/>
                <w:szCs w:val="24"/>
              </w:rPr>
            </w:pPr>
          </w:p>
        </w:tc>
      </w:tr>
      <w:tr w14:paraId="0C444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2A71C72C">
            <w:pPr>
              <w:spacing w:line="0" w:lineRule="atLeast"/>
              <w:jc w:val="center"/>
              <w:rPr>
                <w:rFonts w:ascii="仿宋" w:hAnsi="仿宋" w:eastAsia="仿宋" w:cs="仿宋"/>
                <w:sz w:val="24"/>
                <w:szCs w:val="24"/>
              </w:rPr>
            </w:pPr>
            <w:r>
              <w:rPr>
                <w:rFonts w:hint="eastAsia" w:ascii="仿宋" w:hAnsi="仿宋" w:eastAsia="仿宋" w:cs="仿宋"/>
                <w:sz w:val="24"/>
                <w:szCs w:val="24"/>
              </w:rPr>
              <w:t>4</w:t>
            </w:r>
          </w:p>
        </w:tc>
        <w:tc>
          <w:tcPr>
            <w:tcW w:w="1321" w:type="dxa"/>
            <w:vAlign w:val="center"/>
          </w:tcPr>
          <w:p w14:paraId="2D345BD8">
            <w:pPr>
              <w:spacing w:line="0" w:lineRule="atLeast"/>
              <w:jc w:val="center"/>
              <w:rPr>
                <w:rFonts w:ascii="仿宋" w:hAnsi="仿宋" w:eastAsia="仿宋" w:cs="仿宋"/>
                <w:sz w:val="24"/>
                <w:szCs w:val="24"/>
              </w:rPr>
            </w:pPr>
          </w:p>
        </w:tc>
        <w:tc>
          <w:tcPr>
            <w:tcW w:w="1417" w:type="dxa"/>
            <w:vAlign w:val="center"/>
          </w:tcPr>
          <w:p w14:paraId="32693E8D">
            <w:pPr>
              <w:spacing w:line="0" w:lineRule="atLeast"/>
              <w:jc w:val="center"/>
              <w:rPr>
                <w:rFonts w:ascii="仿宋" w:hAnsi="仿宋" w:eastAsia="仿宋" w:cs="仿宋"/>
                <w:sz w:val="24"/>
                <w:szCs w:val="24"/>
              </w:rPr>
            </w:pPr>
          </w:p>
        </w:tc>
        <w:tc>
          <w:tcPr>
            <w:tcW w:w="1418" w:type="dxa"/>
            <w:vAlign w:val="center"/>
          </w:tcPr>
          <w:p w14:paraId="50894BB1">
            <w:pPr>
              <w:spacing w:line="0" w:lineRule="atLeast"/>
              <w:jc w:val="center"/>
              <w:rPr>
                <w:rFonts w:ascii="仿宋" w:hAnsi="仿宋" w:eastAsia="仿宋" w:cs="仿宋"/>
                <w:sz w:val="24"/>
                <w:szCs w:val="24"/>
              </w:rPr>
            </w:pPr>
          </w:p>
        </w:tc>
        <w:tc>
          <w:tcPr>
            <w:tcW w:w="1275" w:type="dxa"/>
            <w:vAlign w:val="center"/>
          </w:tcPr>
          <w:p w14:paraId="604EEE5E">
            <w:pPr>
              <w:spacing w:line="0" w:lineRule="atLeast"/>
              <w:jc w:val="center"/>
              <w:rPr>
                <w:rFonts w:ascii="仿宋" w:hAnsi="仿宋" w:eastAsia="仿宋" w:cs="仿宋"/>
                <w:sz w:val="24"/>
                <w:szCs w:val="24"/>
              </w:rPr>
            </w:pPr>
          </w:p>
        </w:tc>
        <w:tc>
          <w:tcPr>
            <w:tcW w:w="1276" w:type="dxa"/>
            <w:vAlign w:val="center"/>
          </w:tcPr>
          <w:p w14:paraId="0A42E513">
            <w:pPr>
              <w:spacing w:line="0" w:lineRule="atLeast"/>
              <w:jc w:val="center"/>
              <w:rPr>
                <w:rFonts w:ascii="仿宋" w:hAnsi="仿宋" w:eastAsia="仿宋" w:cs="仿宋"/>
                <w:sz w:val="24"/>
                <w:szCs w:val="24"/>
              </w:rPr>
            </w:pPr>
          </w:p>
        </w:tc>
        <w:tc>
          <w:tcPr>
            <w:tcW w:w="851" w:type="dxa"/>
            <w:vAlign w:val="center"/>
          </w:tcPr>
          <w:p w14:paraId="4FC82F01">
            <w:pPr>
              <w:spacing w:line="0" w:lineRule="atLeast"/>
              <w:jc w:val="center"/>
              <w:rPr>
                <w:rFonts w:ascii="仿宋" w:hAnsi="仿宋" w:eastAsia="仿宋" w:cs="仿宋"/>
                <w:sz w:val="24"/>
                <w:szCs w:val="24"/>
              </w:rPr>
            </w:pPr>
          </w:p>
        </w:tc>
        <w:tc>
          <w:tcPr>
            <w:tcW w:w="1151" w:type="dxa"/>
            <w:vAlign w:val="center"/>
          </w:tcPr>
          <w:p w14:paraId="4DDFF6A5">
            <w:pPr>
              <w:spacing w:line="0" w:lineRule="atLeast"/>
              <w:jc w:val="center"/>
              <w:rPr>
                <w:rFonts w:ascii="仿宋" w:hAnsi="仿宋" w:eastAsia="仿宋" w:cs="仿宋"/>
                <w:sz w:val="24"/>
                <w:szCs w:val="24"/>
              </w:rPr>
            </w:pPr>
          </w:p>
        </w:tc>
      </w:tr>
      <w:tr w14:paraId="10DB5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48003519">
            <w:pPr>
              <w:spacing w:line="0" w:lineRule="atLeast"/>
              <w:jc w:val="center"/>
              <w:rPr>
                <w:rFonts w:ascii="仿宋" w:hAnsi="仿宋" w:eastAsia="仿宋" w:cs="仿宋"/>
                <w:sz w:val="24"/>
                <w:szCs w:val="24"/>
              </w:rPr>
            </w:pPr>
            <w:r>
              <w:rPr>
                <w:rFonts w:hint="eastAsia" w:ascii="仿宋" w:hAnsi="仿宋" w:eastAsia="仿宋" w:cs="仿宋"/>
                <w:sz w:val="24"/>
                <w:szCs w:val="24"/>
              </w:rPr>
              <w:t>…</w:t>
            </w:r>
          </w:p>
        </w:tc>
        <w:tc>
          <w:tcPr>
            <w:tcW w:w="1321" w:type="dxa"/>
            <w:vAlign w:val="center"/>
          </w:tcPr>
          <w:p w14:paraId="29C6E3DC">
            <w:pPr>
              <w:spacing w:line="0" w:lineRule="atLeast"/>
              <w:jc w:val="center"/>
              <w:rPr>
                <w:rFonts w:ascii="仿宋" w:hAnsi="仿宋" w:eastAsia="仿宋" w:cs="仿宋"/>
                <w:sz w:val="24"/>
                <w:szCs w:val="24"/>
              </w:rPr>
            </w:pPr>
            <w:r>
              <w:rPr>
                <w:rFonts w:hint="eastAsia" w:ascii="仿宋" w:hAnsi="仿宋" w:eastAsia="仿宋" w:cs="仿宋"/>
                <w:sz w:val="24"/>
                <w:szCs w:val="24"/>
              </w:rPr>
              <w:t>……</w:t>
            </w:r>
          </w:p>
        </w:tc>
        <w:tc>
          <w:tcPr>
            <w:tcW w:w="1417" w:type="dxa"/>
            <w:vAlign w:val="center"/>
          </w:tcPr>
          <w:p w14:paraId="302CD269">
            <w:pPr>
              <w:spacing w:line="0" w:lineRule="atLeast"/>
              <w:jc w:val="center"/>
              <w:rPr>
                <w:rFonts w:ascii="仿宋" w:hAnsi="仿宋" w:eastAsia="仿宋" w:cs="仿宋"/>
                <w:sz w:val="24"/>
                <w:szCs w:val="24"/>
              </w:rPr>
            </w:pPr>
          </w:p>
        </w:tc>
        <w:tc>
          <w:tcPr>
            <w:tcW w:w="1418" w:type="dxa"/>
            <w:vAlign w:val="center"/>
          </w:tcPr>
          <w:p w14:paraId="44BC9539">
            <w:pPr>
              <w:spacing w:line="0" w:lineRule="atLeast"/>
              <w:jc w:val="center"/>
              <w:rPr>
                <w:rFonts w:ascii="仿宋" w:hAnsi="仿宋" w:eastAsia="仿宋" w:cs="仿宋"/>
                <w:sz w:val="24"/>
                <w:szCs w:val="24"/>
              </w:rPr>
            </w:pPr>
          </w:p>
        </w:tc>
        <w:tc>
          <w:tcPr>
            <w:tcW w:w="1275" w:type="dxa"/>
            <w:vAlign w:val="center"/>
          </w:tcPr>
          <w:p w14:paraId="48A50CE5">
            <w:pPr>
              <w:spacing w:line="0" w:lineRule="atLeast"/>
              <w:jc w:val="center"/>
              <w:rPr>
                <w:rFonts w:ascii="仿宋" w:hAnsi="仿宋" w:eastAsia="仿宋" w:cs="仿宋"/>
                <w:sz w:val="24"/>
                <w:szCs w:val="24"/>
              </w:rPr>
            </w:pPr>
          </w:p>
        </w:tc>
        <w:tc>
          <w:tcPr>
            <w:tcW w:w="1276" w:type="dxa"/>
            <w:vAlign w:val="center"/>
          </w:tcPr>
          <w:p w14:paraId="20161E12">
            <w:pPr>
              <w:spacing w:line="0" w:lineRule="atLeast"/>
              <w:jc w:val="center"/>
              <w:rPr>
                <w:rFonts w:ascii="仿宋" w:hAnsi="仿宋" w:eastAsia="仿宋" w:cs="仿宋"/>
                <w:sz w:val="24"/>
                <w:szCs w:val="24"/>
              </w:rPr>
            </w:pPr>
          </w:p>
        </w:tc>
        <w:tc>
          <w:tcPr>
            <w:tcW w:w="851" w:type="dxa"/>
            <w:vAlign w:val="center"/>
          </w:tcPr>
          <w:p w14:paraId="4D2C2D88">
            <w:pPr>
              <w:spacing w:line="0" w:lineRule="atLeast"/>
              <w:jc w:val="center"/>
              <w:rPr>
                <w:rFonts w:ascii="仿宋" w:hAnsi="仿宋" w:eastAsia="仿宋" w:cs="仿宋"/>
                <w:sz w:val="24"/>
                <w:szCs w:val="24"/>
              </w:rPr>
            </w:pPr>
          </w:p>
        </w:tc>
        <w:tc>
          <w:tcPr>
            <w:tcW w:w="1151" w:type="dxa"/>
            <w:vAlign w:val="center"/>
          </w:tcPr>
          <w:p w14:paraId="01E996D1">
            <w:pPr>
              <w:spacing w:line="0" w:lineRule="atLeast"/>
              <w:jc w:val="center"/>
              <w:rPr>
                <w:rFonts w:ascii="仿宋" w:hAnsi="仿宋" w:eastAsia="仿宋" w:cs="仿宋"/>
                <w:sz w:val="24"/>
                <w:szCs w:val="24"/>
              </w:rPr>
            </w:pPr>
          </w:p>
        </w:tc>
      </w:tr>
      <w:tr w14:paraId="55067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tcPr>
          <w:p w14:paraId="642CBA02">
            <w:pPr>
              <w:jc w:val="center"/>
              <w:rPr>
                <w:rFonts w:ascii="仿宋" w:hAnsi="仿宋" w:eastAsia="仿宋" w:cs="仿宋"/>
                <w:sz w:val="24"/>
                <w:szCs w:val="24"/>
              </w:rPr>
            </w:pPr>
          </w:p>
        </w:tc>
        <w:tc>
          <w:tcPr>
            <w:tcW w:w="8709" w:type="dxa"/>
            <w:gridSpan w:val="7"/>
            <w:vAlign w:val="center"/>
          </w:tcPr>
          <w:p w14:paraId="6F4527AC">
            <w:pPr>
              <w:spacing w:line="0" w:lineRule="atLeast"/>
              <w:jc w:val="center"/>
              <w:rPr>
                <w:rFonts w:ascii="仿宋" w:hAnsi="仿宋" w:eastAsia="仿宋" w:cs="仿宋"/>
                <w:sz w:val="24"/>
                <w:szCs w:val="24"/>
              </w:rPr>
            </w:pPr>
            <w:r>
              <w:rPr>
                <w:rFonts w:hint="eastAsia" w:ascii="仿宋" w:hAnsi="仿宋" w:eastAsia="仿宋" w:cs="仿宋"/>
                <w:sz w:val="24"/>
                <w:szCs w:val="24"/>
              </w:rPr>
              <w:t>总报价（人民币：元）</w:t>
            </w:r>
          </w:p>
        </w:tc>
      </w:tr>
    </w:tbl>
    <w:p w14:paraId="094CD0C2">
      <w:pPr>
        <w:spacing w:line="0" w:lineRule="atLeast"/>
        <w:jc w:val="center"/>
        <w:rPr>
          <w:rFonts w:ascii="仿宋" w:hAnsi="仿宋" w:eastAsia="仿宋" w:cs="仿宋"/>
          <w:sz w:val="24"/>
          <w:szCs w:val="24"/>
          <w:lang w:val="zh-CN"/>
        </w:rPr>
      </w:pPr>
    </w:p>
    <w:p w14:paraId="6C3103CF">
      <w:pPr>
        <w:rPr>
          <w:rFonts w:ascii="仿宋" w:hAnsi="仿宋" w:eastAsia="仿宋" w:cs="仿宋"/>
          <w:sz w:val="24"/>
          <w:szCs w:val="24"/>
        </w:rPr>
      </w:pPr>
      <w:r>
        <w:rPr>
          <w:rFonts w:hint="eastAsia" w:ascii="仿宋" w:hAnsi="仿宋" w:eastAsia="仿宋" w:cs="仿宋"/>
          <w:sz w:val="24"/>
          <w:szCs w:val="24"/>
        </w:rPr>
        <w:t xml:space="preserve">备注： </w:t>
      </w:r>
    </w:p>
    <w:p w14:paraId="33201F5E">
      <w:pPr>
        <w:spacing w:line="0" w:lineRule="atLeast"/>
        <w:rPr>
          <w:rFonts w:ascii="仿宋" w:hAnsi="仿宋" w:eastAsia="仿宋" w:cs="仿宋"/>
          <w:sz w:val="24"/>
          <w:szCs w:val="24"/>
        </w:rPr>
      </w:pPr>
      <w:r>
        <w:rPr>
          <w:rFonts w:hint="eastAsia" w:ascii="仿宋" w:hAnsi="仿宋" w:eastAsia="仿宋" w:cs="仿宋"/>
          <w:sz w:val="24"/>
          <w:szCs w:val="24"/>
        </w:rPr>
        <w:t>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p>
    <w:p w14:paraId="283449D0">
      <w:pPr>
        <w:spacing w:line="400" w:lineRule="exact"/>
        <w:ind w:firstLine="480" w:firstLineChars="200"/>
        <w:rPr>
          <w:rFonts w:ascii="仿宋" w:hAnsi="仿宋" w:eastAsia="仿宋" w:cs="仿宋"/>
          <w:sz w:val="24"/>
          <w:szCs w:val="24"/>
          <w:highlight w:val="cyan"/>
        </w:rPr>
      </w:pPr>
    </w:p>
    <w:p w14:paraId="1300C269">
      <w:pPr>
        <w:spacing w:line="400" w:lineRule="exact"/>
        <w:rPr>
          <w:rFonts w:ascii="仿宋" w:hAnsi="仿宋" w:eastAsia="仿宋" w:cs="仿宋"/>
          <w:color w:val="FF0000"/>
          <w:sz w:val="24"/>
          <w:szCs w:val="24"/>
          <w:highlight w:val="yellow"/>
        </w:rPr>
      </w:pPr>
    </w:p>
    <w:p w14:paraId="5178A309">
      <w:pPr>
        <w:snapToGrid w:val="0"/>
        <w:spacing w:line="400" w:lineRule="exact"/>
        <w:contextualSpacing/>
        <w:rPr>
          <w:rFonts w:ascii="仿宋" w:hAnsi="仿宋" w:eastAsia="仿宋" w:cs="仿宋"/>
          <w:b/>
          <w:sz w:val="28"/>
          <w:szCs w:val="28"/>
          <w:lang w:val="zh-CN"/>
        </w:rPr>
      </w:pPr>
      <w:r>
        <w:rPr>
          <w:rFonts w:hint="eastAsia" w:ascii="仿宋" w:hAnsi="仿宋" w:eastAsia="仿宋" w:cs="仿宋"/>
          <w:b/>
          <w:color w:val="FF0000"/>
          <w:sz w:val="24"/>
          <w:szCs w:val="24"/>
        </w:rPr>
        <w:br w:type="page"/>
      </w:r>
      <w:bookmarkEnd w:id="219"/>
      <w:bookmarkEnd w:id="220"/>
      <w:bookmarkEnd w:id="221"/>
      <w:bookmarkStart w:id="222" w:name="_Toc120614284"/>
      <w:r>
        <w:rPr>
          <w:rFonts w:hint="eastAsia" w:ascii="仿宋" w:hAnsi="仿宋" w:eastAsia="仿宋" w:cs="仿宋"/>
          <w:b/>
          <w:sz w:val="28"/>
          <w:szCs w:val="28"/>
          <w:lang w:val="zh-CN"/>
        </w:rPr>
        <w:t>附件</w:t>
      </w:r>
      <w:r>
        <w:rPr>
          <w:rFonts w:hint="eastAsia" w:ascii="仿宋" w:hAnsi="仿宋" w:eastAsia="仿宋" w:cs="仿宋"/>
          <w:b/>
          <w:sz w:val="28"/>
          <w:szCs w:val="28"/>
        </w:rPr>
        <w:t>2</w:t>
      </w:r>
    </w:p>
    <w:p w14:paraId="0B7883F2">
      <w:pPr>
        <w:jc w:val="center"/>
        <w:rPr>
          <w:rFonts w:ascii="仿宋" w:hAnsi="仿宋" w:eastAsia="仿宋" w:cs="仿宋"/>
          <w:b/>
          <w:sz w:val="28"/>
          <w:szCs w:val="28"/>
        </w:rPr>
      </w:pPr>
      <w:r>
        <w:rPr>
          <w:rFonts w:hint="eastAsia" w:ascii="仿宋" w:hAnsi="仿宋" w:eastAsia="仿宋" w:cs="仿宋"/>
          <w:b/>
          <w:sz w:val="28"/>
          <w:szCs w:val="28"/>
        </w:rPr>
        <w:t>投标人符合</w:t>
      </w:r>
      <w:r>
        <w:rPr>
          <w:rFonts w:hint="eastAsia" w:ascii="仿宋" w:hAnsi="仿宋" w:eastAsia="仿宋" w:cs="仿宋"/>
          <w:b/>
          <w:color w:val="FF0000"/>
          <w:sz w:val="28"/>
          <w:szCs w:val="28"/>
        </w:rPr>
        <w:t>《中华人民共和国政府采购法》</w:t>
      </w:r>
      <w:r>
        <w:rPr>
          <w:rFonts w:hint="eastAsia" w:ascii="仿宋" w:hAnsi="仿宋" w:eastAsia="仿宋" w:cs="仿宋"/>
          <w:b/>
          <w:sz w:val="28"/>
          <w:szCs w:val="28"/>
        </w:rPr>
        <w:t>第二十二条规定条件的声明函</w:t>
      </w:r>
    </w:p>
    <w:p w14:paraId="384FD882">
      <w:pPr>
        <w:spacing w:line="520" w:lineRule="exact"/>
        <w:ind w:firstLine="480" w:firstLineChars="200"/>
        <w:rPr>
          <w:rFonts w:ascii="仿宋" w:hAnsi="仿宋" w:eastAsia="仿宋" w:cs="仿宋"/>
          <w:b/>
          <w:bCs/>
          <w:color w:val="000000"/>
          <w:sz w:val="24"/>
        </w:rPr>
      </w:pPr>
      <w:r>
        <w:rPr>
          <w:rFonts w:hint="eastAsia" w:ascii="仿宋" w:hAnsi="仿宋" w:eastAsia="仿宋" w:cs="仿宋"/>
          <w:bCs/>
          <w:color w:val="000000"/>
          <w:sz w:val="24"/>
        </w:rPr>
        <w:t>我单位参加</w:t>
      </w:r>
      <w:r>
        <w:rPr>
          <w:rFonts w:hint="eastAsia" w:ascii="仿宋" w:hAnsi="仿宋" w:eastAsia="仿宋" w:cs="仿宋"/>
          <w:bCs/>
          <w:color w:val="000000"/>
          <w:sz w:val="24"/>
          <w:szCs w:val="21"/>
        </w:rPr>
        <w:t>________________ （项目名称），_________（项目编号）投标活动。针对《中华人民共和国政府采购法》第二十二条规定做出如下声明：</w:t>
      </w:r>
    </w:p>
    <w:p w14:paraId="79CEAFDC">
      <w:pPr>
        <w:spacing w:line="520" w:lineRule="exact"/>
        <w:ind w:firstLine="482"/>
        <w:rPr>
          <w:rFonts w:ascii="仿宋" w:hAnsi="仿宋" w:eastAsia="仿宋" w:cs="仿宋"/>
          <w:color w:val="000000"/>
          <w:sz w:val="24"/>
        </w:rPr>
      </w:pPr>
      <w:r>
        <w:rPr>
          <w:rFonts w:hint="eastAsia" w:ascii="仿宋" w:hAnsi="仿宋" w:eastAsia="仿宋" w:cs="仿宋"/>
          <w:bCs/>
          <w:color w:val="000000"/>
          <w:sz w:val="24"/>
          <w:szCs w:val="21"/>
        </w:rPr>
        <w:t>1.我单位具有独立承担民事责任的能力；</w:t>
      </w:r>
    </w:p>
    <w:p w14:paraId="528A4EC9">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4391A1F2">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48550D4B">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1C01F7B3">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1AE6856">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1B2564E8">
      <w:pPr>
        <w:spacing w:line="500" w:lineRule="exact"/>
        <w:ind w:firstLine="482"/>
        <w:rPr>
          <w:rFonts w:ascii="仿宋" w:hAnsi="仿宋" w:eastAsia="仿宋" w:cs="仿宋"/>
          <w:color w:val="000000"/>
          <w:sz w:val="24"/>
        </w:rPr>
      </w:pPr>
    </w:p>
    <w:p w14:paraId="61DD7A1F">
      <w:pPr>
        <w:spacing w:line="500" w:lineRule="exact"/>
        <w:rPr>
          <w:rFonts w:ascii="仿宋" w:hAnsi="仿宋" w:eastAsia="仿宋" w:cs="仿宋"/>
          <w:color w:val="000000"/>
          <w:sz w:val="24"/>
        </w:rPr>
      </w:pPr>
    </w:p>
    <w:p w14:paraId="7350AAA2">
      <w:pPr>
        <w:spacing w:line="500" w:lineRule="exact"/>
        <w:rPr>
          <w:rFonts w:ascii="仿宋" w:hAnsi="仿宋" w:eastAsia="仿宋" w:cs="仿宋"/>
          <w:bCs/>
          <w:color w:val="000000"/>
          <w:sz w:val="24"/>
          <w:szCs w:val="21"/>
        </w:rPr>
      </w:pPr>
    </w:p>
    <w:p w14:paraId="4D00C213">
      <w:pPr>
        <w:spacing w:line="500" w:lineRule="exact"/>
        <w:rPr>
          <w:rFonts w:ascii="仿宋" w:hAnsi="仿宋" w:eastAsia="仿宋" w:cs="仿宋"/>
          <w:bCs/>
          <w:color w:val="000000"/>
          <w:sz w:val="24"/>
          <w:szCs w:val="21"/>
        </w:rPr>
      </w:pPr>
    </w:p>
    <w:p w14:paraId="613DFC3E">
      <w:pPr>
        <w:spacing w:line="500" w:lineRule="exact"/>
        <w:rPr>
          <w:rFonts w:ascii="仿宋" w:hAnsi="仿宋" w:eastAsia="仿宋" w:cs="仿宋"/>
          <w:bCs/>
          <w:color w:val="000000"/>
          <w:sz w:val="24"/>
          <w:szCs w:val="21"/>
        </w:rPr>
      </w:pPr>
    </w:p>
    <w:p w14:paraId="6BC19119">
      <w:pPr>
        <w:spacing w:line="460" w:lineRule="exact"/>
        <w:jc w:val="center"/>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p>
    <w:p w14:paraId="475442A3">
      <w:pPr>
        <w:spacing w:line="460" w:lineRule="exact"/>
        <w:jc w:val="right"/>
        <w:rPr>
          <w:rFonts w:ascii="仿宋" w:hAnsi="仿宋" w:eastAsia="仿宋" w:cs="仿宋"/>
          <w:bCs/>
          <w:color w:val="000000"/>
          <w:sz w:val="24"/>
          <w:szCs w:val="21"/>
        </w:rPr>
      </w:pPr>
      <w:r>
        <w:rPr>
          <w:rFonts w:hint="eastAsia" w:ascii="仿宋" w:hAnsi="仿宋" w:eastAsia="仿宋" w:cs="仿宋"/>
          <w:bCs/>
          <w:color w:val="000000"/>
          <w:sz w:val="24"/>
          <w:szCs w:val="21"/>
        </w:rPr>
        <w:t xml:space="preserve">    </w:t>
      </w:r>
    </w:p>
    <w:p w14:paraId="57ED03CE">
      <w:pPr>
        <w:spacing w:line="460" w:lineRule="exact"/>
        <w:jc w:val="righ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日</w:t>
      </w:r>
    </w:p>
    <w:p w14:paraId="3FA9EC4F">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r>
      <w:r>
        <w:rPr>
          <w:rFonts w:hint="eastAsia" w:ascii="仿宋" w:hAnsi="仿宋" w:eastAsia="仿宋" w:cs="仿宋"/>
          <w:b/>
          <w:sz w:val="28"/>
          <w:szCs w:val="28"/>
        </w:rPr>
        <w:t xml:space="preserve">附件3     </w:t>
      </w:r>
      <w:r>
        <w:rPr>
          <w:rFonts w:hint="eastAsia" w:ascii="仿宋" w:hAnsi="仿宋" w:eastAsia="仿宋" w:cs="仿宋"/>
          <w:b/>
          <w:color w:val="FF0000"/>
          <w:sz w:val="28"/>
          <w:szCs w:val="28"/>
        </w:rPr>
        <w:t xml:space="preserve">       </w:t>
      </w:r>
    </w:p>
    <w:p w14:paraId="276C831F">
      <w:pPr>
        <w:spacing w:line="560" w:lineRule="exact"/>
        <w:jc w:val="center"/>
        <w:rPr>
          <w:rFonts w:ascii="仿宋" w:hAnsi="仿宋" w:eastAsia="仿宋" w:cs="仿宋"/>
          <w:b/>
          <w:bCs/>
          <w:sz w:val="28"/>
          <w:szCs w:val="28"/>
        </w:rPr>
      </w:pPr>
    </w:p>
    <w:p w14:paraId="5E3D6927">
      <w:pPr>
        <w:spacing w:line="560" w:lineRule="exact"/>
        <w:jc w:val="center"/>
        <w:rPr>
          <w:rFonts w:ascii="仿宋" w:hAnsi="仿宋" w:eastAsia="仿宋" w:cs="仿宋"/>
          <w:b/>
          <w:bCs/>
          <w:sz w:val="28"/>
          <w:szCs w:val="28"/>
        </w:rPr>
      </w:pPr>
      <w:r>
        <w:rPr>
          <w:rFonts w:hint="eastAsia" w:ascii="仿宋" w:hAnsi="仿宋" w:eastAsia="仿宋" w:cs="仿宋"/>
          <w:b/>
          <w:bCs/>
          <w:sz w:val="28"/>
          <w:szCs w:val="28"/>
        </w:rPr>
        <w:t>法定代表人身份证明</w:t>
      </w:r>
    </w:p>
    <w:p w14:paraId="6A9817DB">
      <w:pPr>
        <w:spacing w:line="480" w:lineRule="exact"/>
        <w:rPr>
          <w:rFonts w:ascii="仿宋" w:hAnsi="仿宋" w:eastAsia="仿宋" w:cs="仿宋"/>
          <w:sz w:val="24"/>
          <w:szCs w:val="24"/>
        </w:rPr>
      </w:pPr>
    </w:p>
    <w:p w14:paraId="715C86CD">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职务，为法定代表人，特此证明。</w:t>
      </w:r>
    </w:p>
    <w:p w14:paraId="4D373EF9">
      <w:pPr>
        <w:spacing w:line="480" w:lineRule="exact"/>
        <w:ind w:firstLine="480"/>
        <w:rPr>
          <w:rFonts w:ascii="仿宋" w:hAnsi="仿宋" w:eastAsia="仿宋" w:cs="仿宋"/>
          <w:sz w:val="24"/>
          <w:szCs w:val="24"/>
          <w:u w:val="single"/>
        </w:rPr>
      </w:pPr>
      <w:r>
        <w:rPr>
          <w:rFonts w:hint="eastAsia" w:ascii="仿宋" w:hAnsi="仿宋" w:eastAsia="仿宋" w:cs="仿宋"/>
          <w:sz w:val="24"/>
          <w:szCs w:val="24"/>
        </w:rPr>
        <w:t>身份证号码：</w:t>
      </w:r>
      <w:r>
        <w:rPr>
          <w:rFonts w:hint="eastAsia" w:ascii="仿宋" w:hAnsi="仿宋" w:eastAsia="仿宋" w:cs="仿宋"/>
          <w:sz w:val="24"/>
          <w:szCs w:val="24"/>
          <w:highlight w:val="white"/>
          <w:u w:val="single"/>
        </w:rPr>
        <w:t xml:space="preserve">                                               </w:t>
      </w:r>
    </w:p>
    <w:p w14:paraId="5FF7F3A7">
      <w:pPr>
        <w:spacing w:line="480" w:lineRule="exact"/>
        <w:ind w:firstLine="480"/>
        <w:rPr>
          <w:rFonts w:ascii="仿宋" w:hAnsi="仿宋" w:eastAsia="仿宋" w:cs="仿宋"/>
          <w:sz w:val="24"/>
          <w:szCs w:val="24"/>
        </w:rPr>
      </w:pPr>
    </w:p>
    <w:p w14:paraId="20E4E32E">
      <w:pPr>
        <w:spacing w:line="600" w:lineRule="exact"/>
        <w:rPr>
          <w:rFonts w:ascii="仿宋" w:hAnsi="仿宋" w:eastAsia="仿宋" w:cs="仿宋"/>
          <w:b/>
          <w:sz w:val="24"/>
          <w:szCs w:val="24"/>
        </w:rPr>
      </w:pPr>
      <w:r>
        <w:rPr>
          <w:rFonts w:hint="eastAsia" w:ascii="仿宋" w:hAnsi="仿宋" w:eastAsia="仿宋" w:cs="仿宋"/>
          <w:b/>
          <w:sz w:val="24"/>
          <w:szCs w:val="24"/>
        </w:rPr>
        <w:t>注：提供法定代表人的身份证扫描件</w:t>
      </w:r>
      <w:r>
        <w:rPr>
          <w:rFonts w:hint="eastAsia" w:ascii="仿宋" w:hAnsi="仿宋" w:eastAsia="仿宋" w:cs="仿宋"/>
          <w:bCs/>
          <w:color w:val="000000"/>
          <w:sz w:val="24"/>
          <w:szCs w:val="21"/>
        </w:rPr>
        <w:t>（加盖CA电子公章）</w:t>
      </w:r>
    </w:p>
    <w:p w14:paraId="4BC5F7A5">
      <w:pPr>
        <w:rPr>
          <w:rFonts w:ascii="仿宋" w:hAnsi="仿宋" w:eastAsia="仿宋" w:cs="仿宋"/>
          <w:b/>
          <w:color w:val="000000"/>
          <w:sz w:val="24"/>
          <w:szCs w:val="21"/>
        </w:rPr>
      </w:pPr>
    </w:p>
    <w:p w14:paraId="1BA8A5EA">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r>
      <w:r>
        <w:rPr>
          <w:rFonts w:hint="eastAsia" w:ascii="仿宋" w:hAnsi="仿宋" w:eastAsia="仿宋" w:cs="仿宋"/>
          <w:b/>
          <w:color w:val="000000"/>
          <w:sz w:val="28"/>
          <w:szCs w:val="28"/>
        </w:rPr>
        <w:t xml:space="preserve">附件4  </w:t>
      </w:r>
    </w:p>
    <w:p w14:paraId="5690DEA6">
      <w:pPr>
        <w:jc w:val="center"/>
        <w:rPr>
          <w:rFonts w:ascii="仿宋" w:hAnsi="仿宋" w:eastAsia="仿宋" w:cs="仿宋"/>
          <w:b/>
          <w:color w:val="000000"/>
          <w:sz w:val="28"/>
          <w:szCs w:val="28"/>
        </w:rPr>
      </w:pPr>
      <w:r>
        <w:rPr>
          <w:rFonts w:hint="eastAsia" w:ascii="仿宋" w:hAnsi="仿宋" w:eastAsia="仿宋" w:cs="仿宋"/>
          <w:b/>
          <w:color w:val="000000"/>
          <w:sz w:val="28"/>
          <w:szCs w:val="28"/>
        </w:rPr>
        <w:t>法人授权书</w:t>
      </w:r>
    </w:p>
    <w:p w14:paraId="09B3A5B6">
      <w:pPr>
        <w:pStyle w:val="12"/>
        <w:rPr>
          <w:rFonts w:ascii="仿宋" w:hAnsi="仿宋" w:eastAsia="仿宋" w:cs="仿宋"/>
        </w:rPr>
      </w:pPr>
    </w:p>
    <w:p w14:paraId="598530B3">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 </w:t>
      </w:r>
      <w:r>
        <w:rPr>
          <w:rFonts w:hint="eastAsia" w:ascii="仿宋" w:hAnsi="仿宋" w:eastAsia="仿宋" w:cs="仿宋"/>
          <w:sz w:val="24"/>
          <w:szCs w:val="24"/>
          <w:u w:val="single"/>
        </w:rPr>
        <w:t>****（项目编</w:t>
      </w:r>
      <w:r>
        <w:rPr>
          <w:rFonts w:hint="eastAsia" w:ascii="仿宋" w:hAnsi="仿宋" w:eastAsia="仿宋" w:cs="仿宋"/>
          <w:sz w:val="24"/>
          <w:szCs w:val="24"/>
        </w:rPr>
        <w:t>号</w:t>
      </w:r>
      <w:r>
        <w:rPr>
          <w:rFonts w:hint="eastAsia" w:ascii="仿宋" w:hAnsi="仿宋" w:eastAsia="仿宋" w:cs="仿宋"/>
          <w:sz w:val="24"/>
          <w:szCs w:val="24"/>
          <w:u w:val="single"/>
        </w:rPr>
        <w:t>）********</w:t>
      </w:r>
      <w:r>
        <w:rPr>
          <w:rFonts w:hint="eastAsia" w:ascii="仿宋" w:hAnsi="仿宋" w:eastAsia="仿宋" w:cs="仿宋"/>
          <w:sz w:val="24"/>
          <w:szCs w:val="24"/>
        </w:rPr>
        <w:t>项目采购活动的合法代理人，以本单位名义全权处理一切与该项目采购有关的事务。</w:t>
      </w:r>
    </w:p>
    <w:p w14:paraId="7568E2FD">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15B30666">
      <w:pPr>
        <w:tabs>
          <w:tab w:val="left" w:pos="360"/>
        </w:tabs>
        <w:spacing w:line="0" w:lineRule="atLeast"/>
        <w:rPr>
          <w:rFonts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p>
    <w:p w14:paraId="3014E1B7">
      <w:pPr>
        <w:tabs>
          <w:tab w:val="left" w:pos="360"/>
        </w:tabs>
        <w:spacing w:line="0" w:lineRule="atLeast"/>
        <w:ind w:firstLine="480"/>
        <w:rPr>
          <w:rFonts w:ascii="仿宋" w:hAnsi="仿宋" w:eastAsia="仿宋" w:cs="仿宋"/>
          <w:sz w:val="24"/>
          <w:szCs w:val="24"/>
          <w:u w:val="single"/>
        </w:rPr>
      </w:pPr>
      <w:r>
        <w:rPr>
          <w:rFonts w:hint="eastAsia" w:ascii="仿宋" w:hAnsi="仿宋" w:eastAsia="仿宋" w:cs="仿宋"/>
          <w:sz w:val="24"/>
          <w:szCs w:val="24"/>
        </w:rPr>
        <w:t>被授权人联系电话：（手机）</w:t>
      </w:r>
      <w:r>
        <w:rPr>
          <w:rFonts w:hint="eastAsia" w:ascii="仿宋" w:hAnsi="仿宋" w:eastAsia="仿宋" w:cs="仿宋"/>
          <w:sz w:val="24"/>
          <w:szCs w:val="24"/>
          <w:u w:val="single"/>
        </w:rPr>
        <w:t xml:space="preserve">                          </w:t>
      </w:r>
    </w:p>
    <w:p w14:paraId="5BE5B17A">
      <w:pPr>
        <w:tabs>
          <w:tab w:val="left" w:pos="360"/>
        </w:tabs>
        <w:spacing w:line="0" w:lineRule="atLeast"/>
        <w:ind w:firstLine="480"/>
        <w:rPr>
          <w:rFonts w:ascii="仿宋" w:hAnsi="仿宋" w:eastAsia="仿宋" w:cs="仿宋"/>
          <w:sz w:val="24"/>
          <w:szCs w:val="24"/>
          <w:u w:val="single"/>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（加盖CA电子公章）</w:t>
      </w:r>
    </w:p>
    <w:p w14:paraId="7696DDEC">
      <w:pPr>
        <w:tabs>
          <w:tab w:val="left" w:pos="360"/>
        </w:tabs>
        <w:spacing w:line="0" w:lineRule="atLeast"/>
        <w:ind w:firstLine="480" w:firstLineChars="200"/>
        <w:rPr>
          <w:rFonts w:ascii="仿宋" w:hAnsi="仿宋" w:eastAsia="仿宋" w:cs="仿宋"/>
          <w:sz w:val="24"/>
          <w:szCs w:val="24"/>
          <w:u w:val="single"/>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14:paraId="0366844B">
      <w:pPr>
        <w:tabs>
          <w:tab w:val="left" w:pos="360"/>
        </w:tabs>
        <w:spacing w:line="0" w:lineRule="atLeast"/>
        <w:ind w:firstLine="480" w:firstLineChars="200"/>
        <w:rPr>
          <w:rFonts w:ascii="仿宋" w:hAnsi="仿宋" w:eastAsia="仿宋" w:cs="仿宋"/>
          <w:sz w:val="24"/>
          <w:szCs w:val="24"/>
          <w:u w:val="single"/>
        </w:rPr>
      </w:pPr>
      <w:r>
        <w:rPr>
          <w:rFonts w:hint="eastAsia" w:ascii="仿宋" w:hAnsi="仿宋" w:eastAsia="仿宋" w:cs="仿宋"/>
          <w:sz w:val="24"/>
          <w:szCs w:val="24"/>
        </w:rPr>
        <w:t>日期：</w:t>
      </w:r>
      <w:bookmarkStart w:id="223" w:name="_格式3__银行出具的资信证明"/>
      <w:bookmarkEnd w:id="223"/>
      <w:bookmarkStart w:id="224" w:name="_Hlt26955070"/>
      <w:bookmarkEnd w:id="224"/>
      <w:bookmarkStart w:id="225" w:name="_Hlt26671380"/>
      <w:bookmarkEnd w:id="225"/>
      <w:r>
        <w:rPr>
          <w:rFonts w:hint="eastAsia" w:ascii="仿宋" w:hAnsi="仿宋" w:eastAsia="仿宋" w:cs="仿宋"/>
          <w:sz w:val="24"/>
          <w:szCs w:val="24"/>
          <w:u w:val="single"/>
        </w:rPr>
        <w:t xml:space="preserve">                                         </w:t>
      </w:r>
    </w:p>
    <w:p w14:paraId="08DCA546">
      <w:pPr>
        <w:tabs>
          <w:tab w:val="left" w:pos="360"/>
        </w:tabs>
        <w:ind w:firstLine="480" w:firstLineChars="200"/>
        <w:rPr>
          <w:rFonts w:ascii="仿宋" w:hAnsi="仿宋" w:eastAsia="仿宋" w:cs="仿宋"/>
          <w:sz w:val="24"/>
          <w:szCs w:val="24"/>
          <w:u w:val="single"/>
        </w:rPr>
      </w:pPr>
    </w:p>
    <w:p w14:paraId="361405F9">
      <w:pPr>
        <w:tabs>
          <w:tab w:val="left" w:pos="360"/>
        </w:tabs>
        <w:ind w:firstLine="480" w:firstLineChars="200"/>
        <w:rPr>
          <w:rFonts w:ascii="仿宋" w:hAnsi="仿宋" w:eastAsia="仿宋" w:cs="仿宋"/>
          <w:sz w:val="24"/>
          <w:szCs w:val="24"/>
        </w:rPr>
      </w:pPr>
    </w:p>
    <w:p w14:paraId="713569D3">
      <w:pPr>
        <w:ind w:firstLine="420"/>
        <w:rPr>
          <w:rFonts w:ascii="仿宋" w:hAnsi="仿宋" w:eastAsia="仿宋" w:cs="仿宋"/>
          <w:i/>
          <w:sz w:val="24"/>
          <w:szCs w:val="24"/>
          <w:u w:val="single"/>
        </w:rPr>
      </w:pPr>
    </w:p>
    <w:p w14:paraId="46146C75">
      <w:pPr>
        <w:rPr>
          <w:rFonts w:ascii="仿宋" w:hAnsi="仿宋" w:eastAsia="仿宋" w:cs="仿宋"/>
          <w:szCs w:val="21"/>
        </w:rPr>
      </w:pPr>
    </w:p>
    <w:p w14:paraId="7957DCEA">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注：提供被授权人身份证扫描件</w:t>
      </w:r>
      <w:r>
        <w:rPr>
          <w:rFonts w:hint="eastAsia" w:ascii="仿宋" w:hAnsi="仿宋" w:eastAsia="仿宋" w:cs="仿宋"/>
          <w:bCs/>
          <w:color w:val="000000"/>
          <w:sz w:val="24"/>
          <w:szCs w:val="21"/>
        </w:rPr>
        <w:t>（加盖CA电子公章）</w:t>
      </w:r>
    </w:p>
    <w:p w14:paraId="2ECFF5FF">
      <w:pPr>
        <w:tabs>
          <w:tab w:val="left" w:pos="360"/>
        </w:tabs>
        <w:spacing w:line="0" w:lineRule="atLeast"/>
        <w:ind w:firstLine="480" w:firstLineChars="200"/>
        <w:rPr>
          <w:rFonts w:ascii="仿宋" w:hAnsi="仿宋" w:eastAsia="仿宋" w:cs="仿宋"/>
          <w:sz w:val="28"/>
          <w:szCs w:val="28"/>
        </w:rPr>
      </w:pPr>
      <w:r>
        <w:rPr>
          <w:rFonts w:hint="eastAsia" w:ascii="仿宋" w:hAnsi="仿宋" w:eastAsia="仿宋" w:cs="仿宋"/>
          <w:sz w:val="24"/>
          <w:szCs w:val="24"/>
        </w:rPr>
        <w:br w:type="page"/>
      </w:r>
      <w:r>
        <w:rPr>
          <w:rFonts w:hint="eastAsia" w:ascii="仿宋" w:hAnsi="仿宋" w:eastAsia="仿宋" w:cs="仿宋"/>
          <w:b/>
          <w:color w:val="000000"/>
          <w:sz w:val="28"/>
          <w:szCs w:val="28"/>
        </w:rPr>
        <w:t xml:space="preserve">附件5   </w:t>
      </w:r>
    </w:p>
    <w:p w14:paraId="1AB98EEC">
      <w:pPr>
        <w:jc w:val="center"/>
        <w:rPr>
          <w:rFonts w:ascii="仿宋" w:hAnsi="仿宋" w:eastAsia="仿宋" w:cs="仿宋"/>
          <w:b/>
          <w:color w:val="000000"/>
          <w:sz w:val="28"/>
          <w:szCs w:val="28"/>
        </w:rPr>
      </w:pPr>
      <w:r>
        <w:rPr>
          <w:rFonts w:hint="eastAsia" w:ascii="仿宋" w:hAnsi="仿宋" w:eastAsia="仿宋" w:cs="仿宋"/>
          <w:b/>
          <w:color w:val="000000"/>
          <w:sz w:val="28"/>
          <w:szCs w:val="28"/>
        </w:rPr>
        <w:t>磋商响应函</w:t>
      </w:r>
    </w:p>
    <w:p w14:paraId="2E2ACD10">
      <w:pPr>
        <w:pStyle w:val="12"/>
        <w:rPr>
          <w:rFonts w:ascii="仿宋" w:hAnsi="仿宋" w:eastAsia="仿宋" w:cs="仿宋"/>
        </w:rPr>
      </w:pPr>
    </w:p>
    <w:p w14:paraId="4B042D54">
      <w:pPr>
        <w:adjustRightInd w:val="0"/>
        <w:spacing w:line="420" w:lineRule="exact"/>
        <w:jc w:val="left"/>
        <w:textAlignment w:val="baseline"/>
        <w:rPr>
          <w:rFonts w:ascii="仿宋" w:hAnsi="仿宋" w:eastAsia="仿宋" w:cs="仿宋"/>
          <w:sz w:val="24"/>
          <w:szCs w:val="21"/>
        </w:rPr>
      </w:pPr>
      <w:r>
        <w:rPr>
          <w:rFonts w:hint="eastAsia" w:ascii="仿宋" w:hAnsi="仿宋" w:eastAsia="仿宋" w:cs="仿宋"/>
          <w:sz w:val="24"/>
          <w:szCs w:val="21"/>
        </w:rPr>
        <w:t>致：如东县公共资源交易中心</w:t>
      </w:r>
    </w:p>
    <w:p w14:paraId="2477061D">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根据贵方的</w:t>
      </w:r>
      <w:r>
        <w:rPr>
          <w:rFonts w:hint="eastAsia" w:ascii="仿宋" w:hAnsi="仿宋" w:eastAsia="仿宋" w:cs="仿宋"/>
          <w:sz w:val="24"/>
          <w:szCs w:val="21"/>
          <w:u w:val="single"/>
        </w:rPr>
        <w:t>********</w:t>
      </w:r>
      <w:r>
        <w:rPr>
          <w:rFonts w:hint="eastAsia" w:ascii="仿宋" w:hAnsi="仿宋" w:eastAsia="仿宋" w:cs="仿宋"/>
          <w:sz w:val="24"/>
          <w:szCs w:val="21"/>
        </w:rPr>
        <w:t>（项目编号）磋商文件，正式授权下述被授权人______(姓名)代表我方______________（供应商的名称），全权处理本次项目磋商的有关事宜。</w:t>
      </w:r>
    </w:p>
    <w:p w14:paraId="108FB405">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据此函，被授权人__________（姓名）兹宣布同意如下：</w:t>
      </w:r>
    </w:p>
    <w:p w14:paraId="5B8C63F0">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1.按磋商文件规定的各项要求，向买方提供所需货物、服务（包含与货物相关的服务及与服务相关的货物）。</w:t>
      </w:r>
    </w:p>
    <w:p w14:paraId="7166A789">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2.我们完全理解贵方不一定将合同授予最低报价的供应商。</w:t>
      </w:r>
    </w:p>
    <w:p w14:paraId="48D3539F">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3.我们已详细审核全部磋商文件及其有效补充文件，我们知道必须放弃提出含糊不清或误解问题的权利。</w:t>
      </w:r>
    </w:p>
    <w:p w14:paraId="496D1ED1">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4.我们同意从规定的开标日期起遵循本响应文件，并在规定的磋商有效期期满之前均具有约束力。</w:t>
      </w:r>
    </w:p>
    <w:p w14:paraId="44CF4CFC">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5.同意向贵方提供贵方可能另外要求的与磋商有关的任何证据或资料，并保证我方已提供和将要提供的文件是真实的、准确的。</w:t>
      </w:r>
    </w:p>
    <w:p w14:paraId="37641505">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6.一旦我方成交,我方将根据磋商文件的规定，严格履行合同的责任和义务,并保证在磋商文件规定的时间完成项目，交付买方验收、使用。</w:t>
      </w:r>
    </w:p>
    <w:p w14:paraId="19452C23">
      <w:pPr>
        <w:adjustRightInd w:val="0"/>
        <w:spacing w:line="420" w:lineRule="exact"/>
        <w:ind w:left="425"/>
        <w:jc w:val="left"/>
        <w:textAlignment w:val="baseline"/>
        <w:rPr>
          <w:rFonts w:ascii="仿宋" w:hAnsi="仿宋" w:eastAsia="仿宋" w:cs="仿宋"/>
          <w:sz w:val="24"/>
          <w:szCs w:val="21"/>
        </w:rPr>
      </w:pPr>
      <w:r>
        <w:rPr>
          <w:rFonts w:hint="eastAsia" w:ascii="仿宋" w:hAnsi="仿宋" w:eastAsia="仿宋" w:cs="仿宋"/>
          <w:sz w:val="24"/>
          <w:szCs w:val="21"/>
        </w:rPr>
        <w:t>7.我方与本磋商有关的正式通讯地址为：</w:t>
      </w:r>
    </w:p>
    <w:p w14:paraId="52AA8F71">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地          址：</w:t>
      </w:r>
    </w:p>
    <w:p w14:paraId="3F24080E">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邮          编：</w:t>
      </w:r>
    </w:p>
    <w:p w14:paraId="045D3630">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电          话：</w:t>
      </w:r>
    </w:p>
    <w:p w14:paraId="592F8F34">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传          真：</w:t>
      </w:r>
    </w:p>
    <w:p w14:paraId="3DB1663E">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供应商开户行：</w:t>
      </w:r>
    </w:p>
    <w:p w14:paraId="5D353FD7">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 xml:space="preserve">账          号： </w:t>
      </w:r>
    </w:p>
    <w:p w14:paraId="6CE148FE">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日           期：________年____月____日</w:t>
      </w:r>
    </w:p>
    <w:p w14:paraId="038CECA7">
      <w:pPr>
        <w:spacing w:line="560" w:lineRule="exact"/>
        <w:ind w:firstLine="240" w:firstLineChars="100"/>
        <w:jc w:val="center"/>
        <w:rPr>
          <w:rFonts w:ascii="仿宋" w:hAnsi="仿宋" w:eastAsia="仿宋" w:cs="仿宋"/>
          <w:bCs/>
          <w:sz w:val="24"/>
          <w:szCs w:val="21"/>
        </w:rPr>
      </w:pPr>
    </w:p>
    <w:p w14:paraId="5525F81C">
      <w:pPr>
        <w:spacing w:line="560" w:lineRule="exact"/>
        <w:ind w:firstLine="240" w:firstLineChars="100"/>
        <w:jc w:val="center"/>
        <w:rPr>
          <w:rFonts w:ascii="仿宋" w:hAnsi="仿宋" w:eastAsia="仿宋" w:cs="仿宋"/>
          <w:bCs/>
          <w:sz w:val="24"/>
          <w:szCs w:val="21"/>
        </w:rPr>
      </w:pPr>
    </w:p>
    <w:p w14:paraId="6A9E2DD7">
      <w:pPr>
        <w:spacing w:line="560" w:lineRule="exact"/>
        <w:ind w:firstLine="240" w:firstLineChars="100"/>
        <w:jc w:val="center"/>
        <w:rPr>
          <w:rFonts w:ascii="仿宋" w:hAnsi="仿宋" w:eastAsia="仿宋" w:cs="仿宋"/>
          <w:bCs/>
          <w:sz w:val="24"/>
          <w:szCs w:val="21"/>
        </w:rPr>
      </w:pPr>
    </w:p>
    <w:p w14:paraId="7AE87731">
      <w:pPr>
        <w:spacing w:line="560" w:lineRule="exact"/>
        <w:rPr>
          <w:rFonts w:ascii="仿宋" w:hAnsi="仿宋" w:eastAsia="仿宋" w:cs="仿宋"/>
          <w:bCs/>
          <w:sz w:val="24"/>
          <w:szCs w:val="21"/>
        </w:rPr>
      </w:pPr>
    </w:p>
    <w:p w14:paraId="0B29E622">
      <w:pPr>
        <w:rPr>
          <w:rFonts w:ascii="仿宋" w:hAnsi="仿宋" w:eastAsia="仿宋" w:cs="仿宋"/>
          <w:b/>
          <w:sz w:val="24"/>
          <w:szCs w:val="21"/>
        </w:rPr>
      </w:pPr>
    </w:p>
    <w:p w14:paraId="0A7E74C0">
      <w:pPr>
        <w:rPr>
          <w:rFonts w:ascii="仿宋" w:hAnsi="仿宋" w:eastAsia="仿宋" w:cs="仿宋"/>
          <w:b/>
          <w:sz w:val="28"/>
          <w:szCs w:val="28"/>
        </w:rPr>
      </w:pPr>
      <w:r>
        <w:rPr>
          <w:rFonts w:hint="eastAsia" w:ascii="仿宋" w:hAnsi="仿宋" w:eastAsia="仿宋" w:cs="仿宋"/>
          <w:b/>
          <w:sz w:val="28"/>
          <w:szCs w:val="28"/>
        </w:rPr>
        <w:t xml:space="preserve">附件6 </w:t>
      </w:r>
    </w:p>
    <w:p w14:paraId="15F56A9E">
      <w:pPr>
        <w:jc w:val="center"/>
        <w:rPr>
          <w:rFonts w:ascii="仿宋" w:hAnsi="仿宋" w:eastAsia="仿宋" w:cs="仿宋"/>
          <w:b/>
          <w:sz w:val="28"/>
          <w:szCs w:val="28"/>
          <w:highlight w:val="cyan"/>
        </w:rPr>
      </w:pPr>
      <w:r>
        <w:rPr>
          <w:rFonts w:hint="eastAsia" w:ascii="仿宋" w:hAnsi="仿宋" w:eastAsia="仿宋" w:cs="仿宋"/>
          <w:b/>
          <w:sz w:val="28"/>
          <w:szCs w:val="28"/>
        </w:rPr>
        <w:t xml:space="preserve">中小企业声明函（服务） </w:t>
      </w:r>
    </w:p>
    <w:p w14:paraId="5DEDB26E">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w:t>
      </w:r>
      <w:r>
        <w:rPr>
          <w:rFonts w:hint="eastAsia" w:ascii="仿宋" w:hAnsi="仿宋" w:eastAsia="仿宋" w:cs="仿宋"/>
          <w:color w:val="FF0000"/>
          <w:sz w:val="24"/>
          <w:szCs w:val="24"/>
        </w:rPr>
        <w:t>〔2020〕</w:t>
      </w:r>
      <w:r>
        <w:rPr>
          <w:rFonts w:hint="eastAsia" w:ascii="仿宋" w:hAnsi="仿宋" w:eastAsia="仿宋" w:cs="仿宋"/>
          <w:sz w:val="24"/>
          <w:szCs w:val="24"/>
        </w:rPr>
        <w:t>46 号）的规定，本公司（联合体）参加</w:t>
      </w:r>
      <w:r>
        <w:rPr>
          <w:rFonts w:hint="eastAsia" w:ascii="仿宋" w:hAnsi="仿宋" w:eastAsia="仿宋" w:cs="仿宋"/>
          <w:sz w:val="24"/>
          <w:szCs w:val="24"/>
          <w:u w:val="single"/>
        </w:rPr>
        <w:t>（单位名称）</w:t>
      </w:r>
      <w:r>
        <w:rPr>
          <w:rFonts w:hint="eastAsia" w:ascii="仿宋" w:hAnsi="仿宋" w:eastAsia="仿宋" w:cs="仿宋"/>
          <w:sz w:val="24"/>
          <w:szCs w:val="24"/>
        </w:rPr>
        <w:t>的</w:t>
      </w:r>
      <w:r>
        <w:rPr>
          <w:rFonts w:hint="eastAsia" w:ascii="仿宋" w:hAnsi="仿宋" w:eastAsia="仿宋" w:cs="仿宋"/>
          <w:sz w:val="24"/>
          <w:szCs w:val="24"/>
          <w:u w:val="single"/>
        </w:rPr>
        <w:t>（项目名称）</w:t>
      </w:r>
      <w:r>
        <w:rPr>
          <w:rFonts w:hint="eastAsia" w:ascii="仿宋" w:hAnsi="仿宋" w:eastAsia="仿宋" w:cs="仿宋"/>
          <w:sz w:val="24"/>
          <w:szCs w:val="24"/>
        </w:rPr>
        <w:t>采购活动，服务全部由符合政策要求的中小企业承接。相关企业（含联合体中的中小企业、签订分包意向协议的中小企业）的具体情况如下：</w:t>
      </w:r>
    </w:p>
    <w:p w14:paraId="44FDB87A">
      <w:pPr>
        <w:spacing w:line="400" w:lineRule="exact"/>
        <w:ind w:firstLine="360" w:firstLineChars="150"/>
        <w:rPr>
          <w:rFonts w:ascii="仿宋" w:hAnsi="仿宋" w:eastAsia="仿宋" w:cs="仿宋"/>
          <w:i/>
          <w:sz w:val="24"/>
          <w:szCs w:val="24"/>
          <w:u w:val="single"/>
        </w:rPr>
      </w:pPr>
      <w:r>
        <w:rPr>
          <w:rFonts w:hint="eastAsia" w:ascii="仿宋" w:hAnsi="仿宋" w:eastAsia="仿宋" w:cs="仿宋"/>
          <w:sz w:val="24"/>
          <w:szCs w:val="24"/>
        </w:rPr>
        <w:t>1.</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（软件和信息技术服务） </w:t>
      </w:r>
      <w:r>
        <w:rPr>
          <w:rFonts w:hint="eastAsia" w:ascii="仿宋" w:hAnsi="仿宋" w:eastAsia="仿宋" w:cs="仿宋"/>
          <w:sz w:val="24"/>
          <w:szCs w:val="24"/>
        </w:rPr>
        <w:t>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（□中型企业 □小型企业 □微型企业）；</w:t>
      </w:r>
    </w:p>
    <w:p w14:paraId="518C918A">
      <w:pPr>
        <w:spacing w:line="400" w:lineRule="exact"/>
        <w:ind w:firstLine="360" w:firstLineChars="150"/>
        <w:rPr>
          <w:rFonts w:ascii="仿宋" w:hAnsi="仿宋" w:eastAsia="仿宋" w:cs="仿宋"/>
          <w:i/>
          <w:sz w:val="24"/>
          <w:szCs w:val="24"/>
          <w:u w:val="single"/>
        </w:rPr>
      </w:pPr>
      <w:r>
        <w:rPr>
          <w:rFonts w:hint="eastAsia" w:ascii="仿宋" w:hAnsi="仿宋" w:eastAsia="仿宋" w:cs="仿宋"/>
          <w:sz w:val="24"/>
          <w:szCs w:val="24"/>
        </w:rPr>
        <w:t>2.</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（□中型企业 □小型企业 □微型企业）；</w:t>
      </w:r>
    </w:p>
    <w:p w14:paraId="58436079">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w:t>
      </w:r>
    </w:p>
    <w:p w14:paraId="27B66766">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36B67F6F">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253E215D">
      <w:pPr>
        <w:spacing w:line="400" w:lineRule="exact"/>
        <w:ind w:right="720"/>
        <w:rPr>
          <w:rFonts w:ascii="仿宋" w:hAnsi="仿宋" w:eastAsia="仿宋" w:cs="仿宋"/>
          <w:sz w:val="24"/>
          <w:szCs w:val="24"/>
        </w:rPr>
      </w:pPr>
    </w:p>
    <w:p w14:paraId="2ABB4B4D">
      <w:pPr>
        <w:spacing w:line="400" w:lineRule="exact"/>
        <w:ind w:right="180" w:firstLine="360" w:firstLineChars="150"/>
        <w:jc w:val="right"/>
        <w:rPr>
          <w:rFonts w:ascii="仿宋" w:hAnsi="仿宋" w:eastAsia="仿宋" w:cs="仿宋"/>
          <w:sz w:val="24"/>
          <w:szCs w:val="24"/>
        </w:rPr>
      </w:pPr>
      <w:r>
        <w:rPr>
          <w:rFonts w:hint="eastAsia" w:ascii="仿宋" w:hAnsi="仿宋" w:eastAsia="仿宋" w:cs="仿宋"/>
          <w:sz w:val="24"/>
          <w:szCs w:val="21"/>
        </w:rPr>
        <w:t>供应商全称</w:t>
      </w:r>
      <w:r>
        <w:rPr>
          <w:rFonts w:hint="eastAsia" w:ascii="仿宋" w:hAnsi="仿宋" w:eastAsia="仿宋" w:cs="仿宋"/>
          <w:sz w:val="24"/>
          <w:szCs w:val="24"/>
        </w:rPr>
        <w:t>（加盖CA电子公章）：</w:t>
      </w:r>
    </w:p>
    <w:p w14:paraId="115C3E34">
      <w:pPr>
        <w:spacing w:line="400" w:lineRule="exact"/>
        <w:ind w:right="480" w:firstLine="5400" w:firstLineChars="2250"/>
        <w:rPr>
          <w:rFonts w:ascii="仿宋" w:hAnsi="仿宋" w:eastAsia="仿宋" w:cs="仿宋"/>
          <w:sz w:val="24"/>
          <w:szCs w:val="24"/>
        </w:rPr>
      </w:pPr>
      <w:r>
        <w:rPr>
          <w:rFonts w:hint="eastAsia" w:ascii="仿宋" w:hAnsi="仿宋" w:eastAsia="仿宋" w:cs="仿宋"/>
          <w:sz w:val="24"/>
          <w:szCs w:val="24"/>
        </w:rPr>
        <w:t>日  期：</w:t>
      </w:r>
    </w:p>
    <w:p w14:paraId="0E4D484D">
      <w:pPr>
        <w:spacing w:line="400" w:lineRule="exact"/>
        <w:ind w:firstLine="240" w:firstLineChars="100"/>
        <w:rPr>
          <w:rFonts w:ascii="仿宋" w:hAnsi="仿宋" w:eastAsia="仿宋" w:cs="仿宋"/>
          <w:sz w:val="24"/>
          <w:szCs w:val="24"/>
        </w:rPr>
      </w:pPr>
    </w:p>
    <w:p w14:paraId="00247189">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备注：</w:t>
      </w:r>
    </w:p>
    <w:p w14:paraId="3309BB18">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1、如项目类型为“服务”，请按照此格式填写。</w:t>
      </w:r>
    </w:p>
    <w:p w14:paraId="2C51715E">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2、从业人员、营业收入、资产总额填报上一年度数据，无上一年度数据的新成立企业可不填报。</w:t>
      </w:r>
    </w:p>
    <w:p w14:paraId="26CCBA05">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3、专门面向中小微型企业采购的项目，供应商如不提供此声明函，则不能通过资格审查；非专门面向中小微型企业采购的项目，供应商如不提供此声明函，价格将不做相应扣除。</w:t>
      </w:r>
    </w:p>
    <w:p w14:paraId="24B29588">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4、供应商</w:t>
      </w:r>
      <w:r>
        <w:rPr>
          <w:rFonts w:hint="eastAsia" w:ascii="仿宋" w:hAnsi="仿宋" w:eastAsia="仿宋" w:cs="仿宋"/>
          <w:b/>
          <w:bCs/>
          <w:sz w:val="24"/>
          <w:szCs w:val="24"/>
        </w:rPr>
        <w:t>自行勾选</w:t>
      </w:r>
      <w:r>
        <w:rPr>
          <w:rFonts w:hint="eastAsia" w:ascii="仿宋" w:hAnsi="仿宋" w:eastAsia="仿宋" w:cs="仿宋"/>
          <w:sz w:val="24"/>
          <w:szCs w:val="24"/>
        </w:rPr>
        <w:t>承接企业的企业规模类型。</w:t>
      </w:r>
    </w:p>
    <w:p w14:paraId="36FB1E2B">
      <w:pPr>
        <w:spacing w:line="400" w:lineRule="exact"/>
        <w:ind w:firstLine="480" w:firstLineChars="200"/>
        <w:rPr>
          <w:rFonts w:ascii="仿宋" w:hAnsi="仿宋" w:eastAsia="仿宋" w:cs="仿宋"/>
          <w:b/>
          <w:color w:val="000000"/>
          <w:sz w:val="24"/>
          <w:szCs w:val="24"/>
        </w:rPr>
      </w:pPr>
      <w:r>
        <w:rPr>
          <w:rFonts w:hint="eastAsia" w:ascii="仿宋" w:hAnsi="仿宋" w:eastAsia="仿宋" w:cs="仿宋"/>
          <w:sz w:val="24"/>
          <w:szCs w:val="24"/>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721367B6">
      <w:pPr>
        <w:spacing w:line="588" w:lineRule="exact"/>
        <w:rPr>
          <w:rFonts w:ascii="仿宋" w:hAnsi="仿宋" w:eastAsia="仿宋" w:cs="仿宋"/>
          <w:b/>
          <w:strike/>
          <w:color w:val="000000"/>
          <w:sz w:val="24"/>
          <w:szCs w:val="24"/>
        </w:rPr>
      </w:pPr>
    </w:p>
    <w:p w14:paraId="693D1D2E">
      <w:pPr>
        <w:pStyle w:val="12"/>
        <w:rPr>
          <w:rFonts w:ascii="仿宋" w:hAnsi="仿宋" w:eastAsia="仿宋" w:cs="仿宋"/>
          <w:strike/>
        </w:rPr>
      </w:pPr>
    </w:p>
    <w:p w14:paraId="665216E4">
      <w:pPr>
        <w:spacing w:line="400" w:lineRule="exact"/>
        <w:ind w:firstLine="562" w:firstLineChars="200"/>
        <w:rPr>
          <w:rFonts w:ascii="仿宋" w:hAnsi="仿宋" w:eastAsia="仿宋" w:cs="仿宋"/>
          <w:b/>
          <w:color w:val="000000"/>
          <w:sz w:val="28"/>
          <w:szCs w:val="28"/>
        </w:rPr>
      </w:pPr>
      <w:r>
        <w:rPr>
          <w:rFonts w:hint="eastAsia" w:ascii="仿宋" w:hAnsi="仿宋" w:eastAsia="仿宋" w:cs="仿宋"/>
          <w:b/>
          <w:color w:val="000000"/>
          <w:sz w:val="28"/>
          <w:szCs w:val="28"/>
        </w:rPr>
        <w:t xml:space="preserve">附件7 </w:t>
      </w:r>
    </w:p>
    <w:p w14:paraId="10FDAF8F">
      <w:pPr>
        <w:rPr>
          <w:rFonts w:ascii="仿宋" w:hAnsi="仿宋" w:eastAsia="仿宋" w:cs="仿宋"/>
          <w:sz w:val="28"/>
          <w:szCs w:val="28"/>
        </w:rPr>
      </w:pPr>
    </w:p>
    <w:p w14:paraId="6FEBE6D2">
      <w:pPr>
        <w:spacing w:line="588" w:lineRule="exact"/>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残疾人福利性单位声明函（服务） </w:t>
      </w:r>
    </w:p>
    <w:p w14:paraId="32EC84BE">
      <w:pPr>
        <w:pStyle w:val="12"/>
        <w:rPr>
          <w:rFonts w:ascii="仿宋" w:hAnsi="仿宋" w:eastAsia="仿宋" w:cs="仿宋"/>
        </w:rPr>
      </w:pPr>
    </w:p>
    <w:p w14:paraId="632D8A0A">
      <w:pPr>
        <w:spacing w:line="400" w:lineRule="exact"/>
        <w:ind w:firstLine="360" w:firstLineChars="15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本单位郑重声明，根据《财政部 民政部 中国残疾人联合会关于促进残疾人就业政府采购政策的通知》（财库</w:t>
      </w:r>
      <w:r>
        <w:rPr>
          <w:rFonts w:hint="eastAsia" w:ascii="仿宋" w:hAnsi="仿宋" w:eastAsia="仿宋" w:cs="仿宋"/>
          <w:color w:val="FF0000"/>
          <w:sz w:val="24"/>
          <w:szCs w:val="24"/>
        </w:rPr>
        <w:t>〔2017〕</w:t>
      </w:r>
      <w:r>
        <w:rPr>
          <w:rFonts w:hint="eastAsia" w:ascii="仿宋" w:hAnsi="仿宋" w:eastAsia="仿宋" w:cs="仿宋"/>
          <w:color w:val="000000" w:themeColor="text1"/>
          <w:sz w:val="24"/>
          <w:szCs w:val="24"/>
          <w14:textFill>
            <w14:solidFill>
              <w14:schemeClr w14:val="tx1"/>
            </w14:solidFill>
          </w14:textFill>
        </w:rPr>
        <w:t xml:space="preserve"> 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单位的</w:t>
      </w:r>
      <w:r>
        <w:rPr>
          <w:rFonts w:hint="eastAsia" w:ascii="仿宋" w:hAnsi="仿宋" w:eastAsia="仿宋" w:cs="仿宋"/>
          <w:b/>
          <w:bCs/>
          <w:color w:val="000000" w:themeColor="text1"/>
          <w:sz w:val="24"/>
          <w:szCs w:val="24"/>
          <w14:textFill>
            <w14:solidFill>
              <w14:schemeClr w14:val="tx1"/>
            </w14:solidFill>
          </w14:textFill>
        </w:rPr>
        <w:t>采购文件编号</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项目采购活动由本单位提供服务。</w:t>
      </w:r>
    </w:p>
    <w:p w14:paraId="3F0AD966">
      <w:pPr>
        <w:spacing w:line="400" w:lineRule="exact"/>
        <w:ind w:firstLine="360" w:firstLineChars="15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本单位对上述声明的真实性负责。如有虚假，将依法承担相应责任。</w:t>
      </w:r>
    </w:p>
    <w:p w14:paraId="33A0FEDA">
      <w:pPr>
        <w:spacing w:line="0" w:lineRule="atLeast"/>
        <w:ind w:firstLine="480" w:firstLineChars="200"/>
        <w:rPr>
          <w:rFonts w:ascii="仿宋" w:hAnsi="仿宋" w:eastAsia="仿宋" w:cs="仿宋"/>
          <w:sz w:val="24"/>
          <w:szCs w:val="21"/>
        </w:rPr>
      </w:pPr>
    </w:p>
    <w:p w14:paraId="526ACEE9">
      <w:pPr>
        <w:pStyle w:val="12"/>
        <w:ind w:firstLine="480"/>
        <w:rPr>
          <w:rFonts w:ascii="仿宋" w:hAnsi="仿宋" w:eastAsia="仿宋" w:cs="仿宋"/>
          <w:sz w:val="24"/>
          <w:szCs w:val="21"/>
        </w:rPr>
      </w:pPr>
    </w:p>
    <w:p w14:paraId="706D8B8D">
      <w:pPr>
        <w:rPr>
          <w:rFonts w:ascii="仿宋" w:hAnsi="仿宋" w:eastAsia="仿宋" w:cs="仿宋"/>
          <w:sz w:val="24"/>
          <w:szCs w:val="21"/>
        </w:rPr>
      </w:pPr>
    </w:p>
    <w:p w14:paraId="7F6B8FBF">
      <w:pPr>
        <w:pStyle w:val="12"/>
        <w:rPr>
          <w:rFonts w:ascii="仿宋" w:hAnsi="仿宋" w:eastAsia="仿宋" w:cs="仿宋"/>
        </w:rPr>
      </w:pPr>
    </w:p>
    <w:p w14:paraId="7BB82D62">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备注：</w:t>
      </w:r>
    </w:p>
    <w:p w14:paraId="02A8F5D9">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4"/>
        </w:rPr>
        <w:t>1、如项目类型为“服务”，请按照此格式填写。</w:t>
      </w:r>
    </w:p>
    <w:p w14:paraId="2DDAA05D">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2、专门面向中小微型企业采购的项目，供应商为残疾人福利性单位并提供服务的必须提供此声明函，否则将不能通过资格审查。</w:t>
      </w:r>
    </w:p>
    <w:p w14:paraId="49847124">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3、 非专门面向中小微型企业采购的项目，供应商如不提供此声明函，价格将不做相应扣除。</w:t>
      </w:r>
    </w:p>
    <w:p w14:paraId="62B43623">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4、</w:t>
      </w:r>
      <w:r>
        <w:rPr>
          <w:rFonts w:hint="eastAsia" w:ascii="仿宋" w:hAnsi="仿宋" w:eastAsia="仿宋" w:cs="仿宋"/>
          <w:sz w:val="24"/>
        </w:rPr>
        <w:t>成交</w:t>
      </w:r>
      <w:r>
        <w:rPr>
          <w:rFonts w:hint="eastAsia" w:ascii="仿宋" w:hAnsi="仿宋" w:eastAsia="仿宋" w:cs="仿宋"/>
          <w:sz w:val="24"/>
          <w:szCs w:val="21"/>
        </w:rPr>
        <w:t>供应商为残疾人福利性单位的，此声明函将随</w:t>
      </w:r>
      <w:r>
        <w:rPr>
          <w:rFonts w:hint="eastAsia" w:ascii="仿宋" w:hAnsi="仿宋" w:eastAsia="仿宋" w:cs="仿宋"/>
          <w:sz w:val="24"/>
        </w:rPr>
        <w:t>成交</w:t>
      </w:r>
      <w:r>
        <w:rPr>
          <w:rFonts w:hint="eastAsia" w:ascii="仿宋" w:hAnsi="仿宋" w:eastAsia="仿宋" w:cs="仿宋"/>
          <w:sz w:val="24"/>
          <w:szCs w:val="21"/>
        </w:rPr>
        <w:t>结果同时公告，接受社会监督。</w:t>
      </w:r>
    </w:p>
    <w:p w14:paraId="447FDEF6">
      <w:pPr>
        <w:spacing w:line="588" w:lineRule="exact"/>
        <w:ind w:firstLine="624" w:firstLineChars="200"/>
        <w:rPr>
          <w:rFonts w:ascii="仿宋" w:hAnsi="仿宋" w:eastAsia="仿宋" w:cs="仿宋"/>
          <w:spacing w:val="6"/>
          <w:sz w:val="30"/>
          <w:szCs w:val="30"/>
        </w:rPr>
      </w:pPr>
    </w:p>
    <w:p w14:paraId="43558C22">
      <w:pPr>
        <w:tabs>
          <w:tab w:val="left" w:pos="4860"/>
        </w:tabs>
        <w:spacing w:line="0" w:lineRule="atLeast"/>
        <w:ind w:right="1559" w:firstLine="624" w:firstLineChars="200"/>
        <w:jc w:val="center"/>
        <w:rPr>
          <w:rFonts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供应商全称（加盖CA电子公章）：</w:t>
      </w:r>
    </w:p>
    <w:p w14:paraId="2EC2DED8">
      <w:pPr>
        <w:tabs>
          <w:tab w:val="left" w:pos="4860"/>
        </w:tabs>
        <w:spacing w:line="0" w:lineRule="atLeast"/>
        <w:ind w:right="1559" w:firstLine="480" w:firstLineChars="200"/>
        <w:jc w:val="center"/>
        <w:rPr>
          <w:rFonts w:ascii="仿宋" w:hAnsi="仿宋" w:eastAsia="仿宋" w:cs="仿宋"/>
          <w:sz w:val="24"/>
          <w:szCs w:val="21"/>
        </w:rPr>
      </w:pPr>
      <w:r>
        <w:rPr>
          <w:rFonts w:hint="eastAsia" w:ascii="仿宋" w:hAnsi="仿宋" w:eastAsia="仿宋" w:cs="仿宋"/>
          <w:sz w:val="24"/>
          <w:szCs w:val="21"/>
        </w:rPr>
        <w:t xml:space="preserve">        日  期：</w:t>
      </w:r>
    </w:p>
    <w:p w14:paraId="19D04F10">
      <w:pPr>
        <w:snapToGrid w:val="0"/>
        <w:spacing w:line="420" w:lineRule="exact"/>
        <w:jc w:val="center"/>
        <w:rPr>
          <w:rFonts w:ascii="仿宋" w:hAnsi="仿宋" w:eastAsia="仿宋" w:cs="仿宋"/>
          <w:b/>
          <w:strike/>
          <w:sz w:val="32"/>
          <w:szCs w:val="32"/>
        </w:rPr>
      </w:pPr>
    </w:p>
    <w:p w14:paraId="056B6683">
      <w:pPr>
        <w:snapToGrid w:val="0"/>
        <w:spacing w:line="420" w:lineRule="exact"/>
        <w:rPr>
          <w:rFonts w:ascii="仿宋" w:hAnsi="仿宋" w:eastAsia="仿宋" w:cs="仿宋"/>
          <w:b/>
          <w:strike/>
          <w:sz w:val="24"/>
          <w:szCs w:val="24"/>
        </w:rPr>
      </w:pPr>
    </w:p>
    <w:p w14:paraId="0387488B">
      <w:pPr>
        <w:snapToGrid w:val="0"/>
        <w:spacing w:line="420" w:lineRule="exact"/>
        <w:rPr>
          <w:rFonts w:ascii="仿宋" w:hAnsi="仿宋" w:eastAsia="仿宋" w:cs="仿宋"/>
          <w:b/>
          <w:strike/>
          <w:sz w:val="24"/>
          <w:szCs w:val="24"/>
        </w:rPr>
      </w:pPr>
    </w:p>
    <w:p w14:paraId="08204CD6">
      <w:pPr>
        <w:snapToGrid w:val="0"/>
        <w:spacing w:line="420" w:lineRule="exact"/>
        <w:rPr>
          <w:rFonts w:ascii="仿宋" w:hAnsi="仿宋" w:eastAsia="仿宋" w:cs="仿宋"/>
          <w:b/>
          <w:strike/>
          <w:sz w:val="24"/>
          <w:szCs w:val="24"/>
        </w:rPr>
      </w:pPr>
    </w:p>
    <w:p w14:paraId="3EF4B2B4">
      <w:pPr>
        <w:snapToGrid w:val="0"/>
        <w:spacing w:line="420" w:lineRule="exact"/>
        <w:rPr>
          <w:rFonts w:ascii="仿宋" w:hAnsi="仿宋" w:eastAsia="仿宋" w:cs="仿宋"/>
          <w:b/>
          <w:strike/>
          <w:sz w:val="24"/>
          <w:szCs w:val="24"/>
        </w:rPr>
      </w:pPr>
    </w:p>
    <w:p w14:paraId="0C6E2684">
      <w:pPr>
        <w:snapToGrid w:val="0"/>
        <w:spacing w:line="420" w:lineRule="exact"/>
        <w:rPr>
          <w:rFonts w:ascii="仿宋" w:hAnsi="仿宋" w:eastAsia="仿宋" w:cs="仿宋"/>
          <w:b/>
          <w:strike/>
          <w:sz w:val="24"/>
          <w:szCs w:val="24"/>
        </w:rPr>
      </w:pPr>
    </w:p>
    <w:p w14:paraId="36C8A5FD">
      <w:pPr>
        <w:snapToGrid w:val="0"/>
        <w:spacing w:line="420" w:lineRule="exact"/>
        <w:rPr>
          <w:rFonts w:ascii="仿宋" w:hAnsi="仿宋" w:eastAsia="仿宋" w:cs="仿宋"/>
          <w:b/>
          <w:strike/>
          <w:sz w:val="24"/>
          <w:szCs w:val="24"/>
        </w:rPr>
      </w:pPr>
    </w:p>
    <w:p w14:paraId="3D11F995">
      <w:pPr>
        <w:snapToGrid w:val="0"/>
        <w:spacing w:line="420" w:lineRule="exact"/>
        <w:rPr>
          <w:rFonts w:ascii="仿宋" w:hAnsi="仿宋" w:eastAsia="仿宋" w:cs="仿宋"/>
          <w:b/>
          <w:strike/>
          <w:sz w:val="24"/>
          <w:szCs w:val="24"/>
        </w:rPr>
      </w:pPr>
    </w:p>
    <w:p w14:paraId="3CCEE8CF">
      <w:pPr>
        <w:snapToGrid w:val="0"/>
        <w:spacing w:line="420" w:lineRule="exact"/>
        <w:rPr>
          <w:rFonts w:ascii="仿宋" w:hAnsi="仿宋" w:eastAsia="仿宋" w:cs="仿宋"/>
          <w:b/>
          <w:strike/>
          <w:sz w:val="24"/>
          <w:szCs w:val="24"/>
        </w:rPr>
      </w:pPr>
    </w:p>
    <w:p w14:paraId="6158C707">
      <w:pPr>
        <w:snapToGrid w:val="0"/>
        <w:spacing w:line="420" w:lineRule="exact"/>
        <w:rPr>
          <w:rFonts w:ascii="仿宋" w:hAnsi="仿宋" w:eastAsia="仿宋" w:cs="仿宋"/>
          <w:b/>
          <w:strike/>
          <w:sz w:val="24"/>
          <w:szCs w:val="24"/>
        </w:rPr>
      </w:pPr>
    </w:p>
    <w:p w14:paraId="37A568A7">
      <w:pPr>
        <w:snapToGrid w:val="0"/>
        <w:spacing w:line="420" w:lineRule="exact"/>
        <w:outlineLvl w:val="3"/>
        <w:rPr>
          <w:rFonts w:ascii="仿宋" w:hAnsi="仿宋" w:eastAsia="仿宋" w:cs="仿宋"/>
          <w:b/>
          <w:sz w:val="28"/>
          <w:szCs w:val="28"/>
        </w:rPr>
      </w:pPr>
      <w:r>
        <w:rPr>
          <w:rFonts w:hint="eastAsia" w:ascii="仿宋" w:hAnsi="仿宋" w:eastAsia="仿宋" w:cs="仿宋"/>
          <w:b/>
          <w:sz w:val="28"/>
          <w:szCs w:val="28"/>
        </w:rPr>
        <w:t>附件8</w:t>
      </w:r>
    </w:p>
    <w:p w14:paraId="305939EF">
      <w:pPr>
        <w:snapToGrid w:val="0"/>
        <w:spacing w:line="420" w:lineRule="exact"/>
        <w:jc w:val="center"/>
        <w:outlineLvl w:val="3"/>
        <w:rPr>
          <w:rFonts w:ascii="仿宋" w:hAnsi="仿宋" w:eastAsia="仿宋" w:cs="仿宋"/>
          <w:b/>
          <w:bCs/>
          <w:sz w:val="28"/>
          <w:szCs w:val="28"/>
        </w:rPr>
      </w:pPr>
      <w:r>
        <w:rPr>
          <w:rFonts w:hint="eastAsia" w:ascii="仿宋" w:hAnsi="仿宋" w:eastAsia="仿宋" w:cs="仿宋"/>
          <w:b/>
          <w:bCs/>
          <w:sz w:val="28"/>
          <w:szCs w:val="28"/>
        </w:rPr>
        <w:t>监狱和戒毒企业证明材料</w:t>
      </w:r>
    </w:p>
    <w:p w14:paraId="5AC43938">
      <w:pPr>
        <w:snapToGrid w:val="0"/>
        <w:spacing w:line="420" w:lineRule="exact"/>
        <w:ind w:firstLine="495" w:firstLineChars="177"/>
        <w:rPr>
          <w:rFonts w:ascii="仿宋" w:hAnsi="仿宋" w:eastAsia="仿宋" w:cs="仿宋"/>
          <w:sz w:val="28"/>
          <w:szCs w:val="28"/>
        </w:rPr>
      </w:pPr>
    </w:p>
    <w:p w14:paraId="602CDEF0">
      <w:pPr>
        <w:snapToGrid w:val="0"/>
        <w:spacing w:line="420" w:lineRule="exact"/>
        <w:jc w:val="center"/>
        <w:outlineLvl w:val="3"/>
        <w:rPr>
          <w:rFonts w:ascii="仿宋" w:hAnsi="仿宋" w:eastAsia="仿宋" w:cs="仿宋"/>
          <w:b/>
          <w:bCs/>
          <w:sz w:val="24"/>
          <w:szCs w:val="24"/>
        </w:rPr>
      </w:pPr>
      <w:r>
        <w:rPr>
          <w:rFonts w:hint="eastAsia" w:ascii="仿宋" w:hAnsi="仿宋" w:eastAsia="仿宋" w:cs="仿宋"/>
          <w:b/>
          <w:bCs/>
          <w:sz w:val="24"/>
          <w:szCs w:val="24"/>
        </w:rPr>
        <w:t>（格式自拟）</w:t>
      </w:r>
    </w:p>
    <w:p w14:paraId="0D58D96D">
      <w:pPr>
        <w:snapToGrid w:val="0"/>
        <w:spacing w:line="420" w:lineRule="exact"/>
        <w:ind w:firstLine="495" w:firstLineChars="177"/>
        <w:rPr>
          <w:rFonts w:ascii="仿宋" w:hAnsi="仿宋" w:eastAsia="仿宋" w:cs="仿宋"/>
          <w:sz w:val="28"/>
          <w:szCs w:val="28"/>
        </w:rPr>
      </w:pPr>
    </w:p>
    <w:p w14:paraId="7E8C49F5">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根据《财政部司法部关于政府采购支持监狱企业发展有关问题的通知》（财库</w:t>
      </w:r>
      <w:r>
        <w:rPr>
          <w:rFonts w:hint="eastAsia" w:ascii="仿宋" w:hAnsi="仿宋" w:eastAsia="仿宋" w:cs="仿宋"/>
          <w:color w:val="FF0000"/>
          <w:sz w:val="24"/>
          <w:szCs w:val="24"/>
        </w:rPr>
        <w:t>〔2014〕</w:t>
      </w:r>
      <w:r>
        <w:rPr>
          <w:rFonts w:hint="eastAsia" w:ascii="仿宋" w:hAnsi="仿宋" w:eastAsia="仿宋" w:cs="仿宋"/>
          <w:sz w:val="24"/>
          <w:szCs w:val="21"/>
        </w:rPr>
        <w:t>68号），监狱企业参加政府采购活动时，应当提供由省级以上监狱管理局、戒毒管理局（含新疆生产建设兵团）出具的，供应商属于监狱企业的证明文件。</w:t>
      </w:r>
    </w:p>
    <w:p w14:paraId="7F786E6B">
      <w:pPr>
        <w:spacing w:line="0" w:lineRule="atLeast"/>
        <w:ind w:firstLine="480" w:firstLineChars="200"/>
        <w:rPr>
          <w:rFonts w:ascii="仿宋" w:hAnsi="仿宋" w:eastAsia="仿宋" w:cs="仿宋"/>
          <w:sz w:val="24"/>
          <w:szCs w:val="21"/>
        </w:rPr>
      </w:pPr>
    </w:p>
    <w:p w14:paraId="7B9F9B03">
      <w:pPr>
        <w:spacing w:line="400" w:lineRule="exact"/>
        <w:ind w:firstLine="480" w:firstLineChars="200"/>
        <w:rPr>
          <w:rFonts w:ascii="仿宋" w:hAnsi="仿宋" w:eastAsia="仿宋" w:cs="仿宋"/>
          <w:sz w:val="24"/>
          <w:szCs w:val="21"/>
        </w:rPr>
      </w:pPr>
    </w:p>
    <w:p w14:paraId="57EB5B58">
      <w:pPr>
        <w:spacing w:line="400" w:lineRule="exact"/>
        <w:ind w:firstLine="480" w:firstLineChars="200"/>
        <w:rPr>
          <w:rFonts w:ascii="仿宋" w:hAnsi="仿宋" w:eastAsia="仿宋" w:cs="仿宋"/>
          <w:sz w:val="24"/>
          <w:szCs w:val="21"/>
        </w:rPr>
      </w:pPr>
    </w:p>
    <w:p w14:paraId="36B49DAA">
      <w:pPr>
        <w:spacing w:line="400" w:lineRule="exact"/>
        <w:ind w:firstLine="480" w:firstLineChars="200"/>
        <w:rPr>
          <w:rFonts w:ascii="仿宋" w:hAnsi="仿宋" w:eastAsia="仿宋" w:cs="仿宋"/>
          <w:sz w:val="24"/>
          <w:szCs w:val="21"/>
        </w:rPr>
      </w:pPr>
    </w:p>
    <w:p w14:paraId="4CC65AF1">
      <w:pPr>
        <w:spacing w:line="400" w:lineRule="exact"/>
        <w:ind w:firstLine="480" w:firstLineChars="200"/>
        <w:rPr>
          <w:rFonts w:ascii="仿宋" w:hAnsi="仿宋" w:eastAsia="仿宋" w:cs="仿宋"/>
          <w:sz w:val="24"/>
          <w:szCs w:val="21"/>
        </w:rPr>
      </w:pPr>
    </w:p>
    <w:p w14:paraId="00B407A6">
      <w:pPr>
        <w:spacing w:line="400" w:lineRule="exact"/>
        <w:ind w:firstLine="480" w:firstLineChars="200"/>
        <w:rPr>
          <w:rFonts w:ascii="仿宋" w:hAnsi="仿宋" w:eastAsia="仿宋" w:cs="仿宋"/>
          <w:sz w:val="24"/>
          <w:szCs w:val="21"/>
        </w:rPr>
      </w:pPr>
    </w:p>
    <w:p w14:paraId="2FB3C652">
      <w:pPr>
        <w:spacing w:line="400" w:lineRule="exact"/>
        <w:ind w:firstLine="480" w:firstLineChars="200"/>
        <w:rPr>
          <w:rFonts w:ascii="仿宋" w:hAnsi="仿宋" w:eastAsia="仿宋" w:cs="仿宋"/>
          <w:sz w:val="24"/>
          <w:szCs w:val="21"/>
        </w:rPr>
      </w:pPr>
    </w:p>
    <w:p w14:paraId="654FEFFC">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1"/>
        </w:rPr>
        <w:t>备注：</w:t>
      </w:r>
    </w:p>
    <w:p w14:paraId="0F25A91F">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1"/>
        </w:rPr>
        <w:t>1、</w:t>
      </w:r>
      <w:r>
        <w:rPr>
          <w:rFonts w:hint="eastAsia" w:ascii="仿宋" w:hAnsi="仿宋" w:eastAsia="仿宋" w:cs="仿宋"/>
          <w:sz w:val="24"/>
          <w:szCs w:val="24"/>
        </w:rPr>
        <w:t>专门面向中小微型企业采购的项目，供应商如不提供证明材料，则不能通过资格审查；非专门面向中小微型企业采购的项目，供应商如不提供证明材料，价格将不做相应扣除。</w:t>
      </w:r>
    </w:p>
    <w:p w14:paraId="70D74A8F">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2、成交供应商为监狱和戒毒企业的，此</w:t>
      </w:r>
      <w:r>
        <w:rPr>
          <w:rFonts w:hint="eastAsia" w:ascii="仿宋" w:hAnsi="仿宋" w:eastAsia="仿宋" w:cs="仿宋"/>
          <w:sz w:val="24"/>
          <w:szCs w:val="24"/>
        </w:rPr>
        <w:t>证明材料</w:t>
      </w:r>
      <w:r>
        <w:rPr>
          <w:rFonts w:hint="eastAsia" w:ascii="仿宋" w:hAnsi="仿宋" w:eastAsia="仿宋" w:cs="仿宋"/>
          <w:sz w:val="24"/>
          <w:szCs w:val="21"/>
        </w:rPr>
        <w:t>将随成交结果同时公告，接受社会监督。供应商提供</w:t>
      </w:r>
      <w:r>
        <w:rPr>
          <w:rFonts w:hint="eastAsia" w:ascii="仿宋" w:hAnsi="仿宋" w:eastAsia="仿宋" w:cs="仿宋"/>
          <w:sz w:val="24"/>
          <w:szCs w:val="24"/>
        </w:rPr>
        <w:t>证明材料</w:t>
      </w:r>
      <w:r>
        <w:rPr>
          <w:rFonts w:hint="eastAsia" w:ascii="仿宋" w:hAnsi="仿宋" w:eastAsia="仿宋" w:cs="仿宋"/>
          <w:sz w:val="24"/>
          <w:szCs w:val="21"/>
        </w:rPr>
        <w:t>内容不实的，属于提供虚假材料谋取中标、成交，依照《中华人民共和国政府采购法》等国家有关规定追究相应责任。</w:t>
      </w:r>
    </w:p>
    <w:p w14:paraId="2533617C">
      <w:pPr>
        <w:spacing w:line="0" w:lineRule="atLeast"/>
        <w:ind w:firstLine="480" w:firstLineChars="200"/>
        <w:rPr>
          <w:rFonts w:ascii="仿宋" w:hAnsi="仿宋" w:eastAsia="仿宋" w:cs="仿宋"/>
          <w:strike/>
          <w:sz w:val="24"/>
          <w:szCs w:val="21"/>
        </w:rPr>
      </w:pPr>
    </w:p>
    <w:p w14:paraId="7BD722BE">
      <w:pPr>
        <w:spacing w:line="560" w:lineRule="exact"/>
        <w:jc w:val="center"/>
        <w:rPr>
          <w:rFonts w:ascii="仿宋" w:hAnsi="仿宋" w:eastAsia="仿宋" w:cs="仿宋"/>
          <w:b/>
          <w:strike/>
          <w:sz w:val="32"/>
          <w:szCs w:val="32"/>
        </w:rPr>
      </w:pPr>
    </w:p>
    <w:p w14:paraId="341A68B4">
      <w:pPr>
        <w:spacing w:line="560" w:lineRule="exact"/>
        <w:jc w:val="center"/>
        <w:rPr>
          <w:rFonts w:ascii="仿宋" w:hAnsi="仿宋" w:eastAsia="仿宋" w:cs="仿宋"/>
          <w:b/>
          <w:strike/>
          <w:sz w:val="32"/>
          <w:szCs w:val="32"/>
        </w:rPr>
      </w:pPr>
    </w:p>
    <w:p w14:paraId="03453C64">
      <w:pPr>
        <w:spacing w:line="560" w:lineRule="exact"/>
        <w:rPr>
          <w:rFonts w:ascii="仿宋" w:hAnsi="仿宋" w:eastAsia="仿宋" w:cs="仿宋"/>
          <w:b/>
          <w:strike/>
          <w:sz w:val="32"/>
          <w:szCs w:val="32"/>
        </w:rPr>
      </w:pPr>
    </w:p>
    <w:p w14:paraId="3F672975">
      <w:pPr>
        <w:spacing w:line="0" w:lineRule="atLeast"/>
        <w:rPr>
          <w:rFonts w:ascii="仿宋" w:hAnsi="仿宋" w:eastAsia="仿宋" w:cs="仿宋"/>
          <w:b/>
          <w:sz w:val="28"/>
          <w:szCs w:val="28"/>
        </w:rPr>
      </w:pPr>
      <w:r>
        <w:rPr>
          <w:rFonts w:hint="eastAsia" w:ascii="仿宋" w:hAnsi="仿宋" w:eastAsia="仿宋" w:cs="仿宋"/>
          <w:b/>
          <w:strike/>
          <w:sz w:val="24"/>
          <w:szCs w:val="24"/>
        </w:rPr>
        <w:br w:type="page"/>
      </w:r>
      <w:r>
        <w:rPr>
          <w:rFonts w:hint="eastAsia" w:ascii="仿宋" w:hAnsi="仿宋" w:eastAsia="仿宋" w:cs="仿宋"/>
          <w:b/>
          <w:sz w:val="28"/>
          <w:szCs w:val="28"/>
        </w:rPr>
        <w:t>附件****</w:t>
      </w:r>
    </w:p>
    <w:p w14:paraId="2884D4B7">
      <w:pPr>
        <w:rPr>
          <w:rFonts w:ascii="仿宋" w:hAnsi="仿宋" w:eastAsia="仿宋" w:cs="仿宋"/>
          <w:sz w:val="28"/>
          <w:szCs w:val="28"/>
        </w:rPr>
      </w:pPr>
    </w:p>
    <w:p w14:paraId="2C00FCE4">
      <w:pPr>
        <w:spacing w:line="0" w:lineRule="atLeast"/>
        <w:jc w:val="center"/>
        <w:rPr>
          <w:rFonts w:ascii="仿宋" w:hAnsi="仿宋" w:eastAsia="仿宋" w:cs="仿宋"/>
          <w:b/>
          <w:sz w:val="28"/>
          <w:szCs w:val="28"/>
        </w:rPr>
      </w:pPr>
      <w:r>
        <w:rPr>
          <w:rFonts w:hint="eastAsia" w:ascii="仿宋" w:hAnsi="仿宋" w:eastAsia="仿宋" w:cs="仿宋"/>
          <w:b/>
          <w:sz w:val="28"/>
          <w:szCs w:val="28"/>
        </w:rPr>
        <w:t>联合体协议（参考格式）</w:t>
      </w:r>
    </w:p>
    <w:p w14:paraId="4F491FBF">
      <w:pPr>
        <w:pStyle w:val="12"/>
        <w:rPr>
          <w:rFonts w:ascii="仿宋" w:hAnsi="仿宋" w:eastAsia="仿宋" w:cs="仿宋"/>
        </w:rPr>
      </w:pPr>
    </w:p>
    <w:p w14:paraId="42A8FB7D">
      <w:pPr>
        <w:spacing w:line="0" w:lineRule="atLeast"/>
        <w:rPr>
          <w:rFonts w:ascii="仿宋" w:hAnsi="仿宋" w:eastAsia="仿宋" w:cs="仿宋"/>
          <w:sz w:val="24"/>
          <w:szCs w:val="21"/>
        </w:rPr>
      </w:pPr>
      <w:r>
        <w:rPr>
          <w:rFonts w:hint="eastAsia" w:ascii="仿宋" w:hAnsi="仿宋" w:eastAsia="仿宋" w:cs="仿宋"/>
          <w:sz w:val="24"/>
          <w:szCs w:val="21"/>
        </w:rPr>
        <w:t>（联合体中各供应商全称）在此达成以下协议：</w:t>
      </w:r>
    </w:p>
    <w:p w14:paraId="22980ADA">
      <w:pPr>
        <w:spacing w:line="0" w:lineRule="atLeast"/>
        <w:ind w:firstLine="645"/>
        <w:rPr>
          <w:rFonts w:ascii="仿宋" w:hAnsi="仿宋" w:eastAsia="仿宋" w:cs="仿宋"/>
          <w:sz w:val="24"/>
          <w:szCs w:val="21"/>
        </w:rPr>
      </w:pPr>
      <w:r>
        <w:rPr>
          <w:rFonts w:hint="eastAsia" w:ascii="仿宋" w:hAnsi="仿宋" w:eastAsia="仿宋" w:cs="仿宋"/>
          <w:sz w:val="24"/>
          <w:szCs w:val="21"/>
        </w:rPr>
        <w:t>1、我们</w:t>
      </w:r>
      <w:r>
        <w:rPr>
          <w:rFonts w:hint="eastAsia" w:ascii="仿宋" w:hAnsi="仿宋" w:eastAsia="仿宋" w:cs="仿宋"/>
          <w:sz w:val="24"/>
          <w:szCs w:val="21"/>
          <w:u w:val="single"/>
        </w:rPr>
        <w:t xml:space="preserve"> （供应商1），（供应商2） ，……</w:t>
      </w:r>
      <w:r>
        <w:rPr>
          <w:rFonts w:hint="eastAsia" w:ascii="仿宋" w:hAnsi="仿宋" w:eastAsia="仿宋" w:cs="仿宋"/>
          <w:sz w:val="24"/>
          <w:szCs w:val="21"/>
        </w:rPr>
        <w:t>自愿组成联合体，参加如东县公共资源交易中心组织的采购编号为</w:t>
      </w:r>
      <w:r>
        <w:rPr>
          <w:rFonts w:hint="eastAsia" w:ascii="仿宋" w:hAnsi="仿宋" w:eastAsia="仿宋" w:cs="仿宋"/>
          <w:sz w:val="24"/>
          <w:szCs w:val="21"/>
          <w:u w:val="single"/>
        </w:rPr>
        <w:t>（编号全称），（项目全称）</w:t>
      </w:r>
      <w:r>
        <w:rPr>
          <w:rFonts w:hint="eastAsia" w:ascii="仿宋" w:hAnsi="仿宋" w:eastAsia="仿宋" w:cs="仿宋"/>
          <w:sz w:val="24"/>
          <w:szCs w:val="21"/>
        </w:rPr>
        <w:t>项目的政府采购活动，我联合体指定</w:t>
      </w:r>
      <w:r>
        <w:rPr>
          <w:rFonts w:hint="eastAsia" w:ascii="仿宋" w:hAnsi="仿宋" w:eastAsia="仿宋" w:cs="仿宋"/>
          <w:sz w:val="24"/>
          <w:szCs w:val="21"/>
          <w:u w:val="single"/>
        </w:rPr>
        <w:t>（供应商*）</w:t>
      </w:r>
      <w:r>
        <w:rPr>
          <w:rFonts w:hint="eastAsia" w:ascii="仿宋" w:hAnsi="仿宋" w:eastAsia="仿宋" w:cs="仿宋"/>
          <w:sz w:val="24"/>
          <w:szCs w:val="21"/>
        </w:rPr>
        <w:t>为牵头单位（牵头单位必须为联合体成员）。</w:t>
      </w:r>
    </w:p>
    <w:p w14:paraId="3DA8C2B5">
      <w:pPr>
        <w:spacing w:line="0" w:lineRule="atLeast"/>
        <w:ind w:firstLine="645"/>
        <w:rPr>
          <w:rFonts w:ascii="仿宋" w:hAnsi="仿宋" w:eastAsia="仿宋" w:cs="仿宋"/>
          <w:sz w:val="24"/>
          <w:szCs w:val="21"/>
        </w:rPr>
      </w:pPr>
      <w:r>
        <w:rPr>
          <w:rFonts w:hint="eastAsia" w:ascii="仿宋" w:hAnsi="仿宋" w:eastAsia="仿宋" w:cs="仿宋"/>
          <w:sz w:val="24"/>
          <w:szCs w:val="21"/>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3232E829">
      <w:pPr>
        <w:spacing w:line="0" w:lineRule="atLeast"/>
        <w:ind w:firstLine="645"/>
        <w:rPr>
          <w:rFonts w:ascii="仿宋" w:hAnsi="仿宋" w:eastAsia="仿宋" w:cs="仿宋"/>
          <w:sz w:val="24"/>
          <w:szCs w:val="21"/>
        </w:rPr>
      </w:pPr>
      <w:r>
        <w:rPr>
          <w:rFonts w:hint="eastAsia" w:ascii="仿宋" w:hAnsi="仿宋" w:eastAsia="仿宋" w:cs="仿宋"/>
          <w:sz w:val="24"/>
          <w:szCs w:val="21"/>
        </w:rPr>
        <w:t>3、其中</w:t>
      </w:r>
      <w:r>
        <w:rPr>
          <w:rFonts w:hint="eastAsia" w:ascii="仿宋" w:hAnsi="仿宋" w:eastAsia="仿宋" w:cs="仿宋"/>
          <w:sz w:val="24"/>
          <w:szCs w:val="21"/>
          <w:u w:val="single"/>
        </w:rPr>
        <w:t xml:space="preserve">      </w:t>
      </w:r>
      <w:r>
        <w:rPr>
          <w:rFonts w:hint="eastAsia" w:ascii="仿宋" w:hAnsi="仿宋" w:eastAsia="仿宋" w:cs="仿宋"/>
          <w:sz w:val="24"/>
          <w:szCs w:val="21"/>
        </w:rPr>
        <w:t>（小型、微型企业/残疾人福利性单位/监狱企业全称）为</w:t>
      </w:r>
      <w:r>
        <w:rPr>
          <w:rFonts w:hint="eastAsia" w:ascii="仿宋" w:hAnsi="仿宋" w:eastAsia="仿宋" w:cs="仿宋"/>
          <w:sz w:val="24"/>
          <w:szCs w:val="21"/>
          <w:u w:val="single"/>
        </w:rPr>
        <w:t xml:space="preserve">    </w:t>
      </w:r>
      <w:r>
        <w:rPr>
          <w:rFonts w:hint="eastAsia" w:ascii="仿宋" w:hAnsi="仿宋" w:eastAsia="仿宋" w:cs="仿宋"/>
          <w:sz w:val="24"/>
          <w:szCs w:val="21"/>
        </w:rPr>
        <w:t>（小型、微型企业/残疾人福利性单位/监狱企业）企业，且我们约定该公司/单位所承担的合同金额将占本项目合同总金额的</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 %。</w:t>
      </w:r>
    </w:p>
    <w:p w14:paraId="27326974">
      <w:pPr>
        <w:spacing w:line="0" w:lineRule="atLeast"/>
        <w:ind w:firstLine="645"/>
        <w:rPr>
          <w:rFonts w:ascii="仿宋" w:hAnsi="仿宋" w:eastAsia="仿宋" w:cs="仿宋"/>
          <w:sz w:val="24"/>
          <w:szCs w:val="21"/>
        </w:rPr>
      </w:pPr>
    </w:p>
    <w:p w14:paraId="6E3F40B0">
      <w:pPr>
        <w:pStyle w:val="12"/>
        <w:rPr>
          <w:rFonts w:ascii="仿宋" w:hAnsi="仿宋" w:eastAsia="仿宋" w:cs="仿宋"/>
        </w:rPr>
      </w:pPr>
    </w:p>
    <w:p w14:paraId="3B1662DF">
      <w:pPr>
        <w:spacing w:line="0" w:lineRule="atLeast"/>
        <w:rPr>
          <w:rFonts w:ascii="仿宋" w:hAnsi="仿宋" w:eastAsia="仿宋" w:cs="仿宋"/>
          <w:sz w:val="24"/>
          <w:szCs w:val="21"/>
        </w:rPr>
      </w:pPr>
    </w:p>
    <w:p w14:paraId="3B603477">
      <w:pPr>
        <w:spacing w:line="0" w:lineRule="atLeast"/>
        <w:ind w:firstLine="645"/>
        <w:rPr>
          <w:rFonts w:ascii="仿宋" w:hAnsi="仿宋" w:eastAsia="仿宋" w:cs="仿宋"/>
          <w:sz w:val="24"/>
          <w:szCs w:val="21"/>
        </w:rPr>
      </w:pPr>
      <w:r>
        <w:rPr>
          <w:rFonts w:hint="eastAsia" w:ascii="仿宋" w:hAnsi="仿宋" w:eastAsia="仿宋" w:cs="仿宋"/>
          <w:sz w:val="24"/>
          <w:szCs w:val="21"/>
        </w:rPr>
        <w:t xml:space="preserve">             联合体牵头单位名称：（加盖CA电子公章）    </w:t>
      </w:r>
    </w:p>
    <w:p w14:paraId="37FE1247">
      <w:pPr>
        <w:spacing w:line="0" w:lineRule="atLeast"/>
        <w:ind w:firstLine="645"/>
        <w:rPr>
          <w:rFonts w:ascii="仿宋" w:hAnsi="仿宋" w:eastAsia="仿宋" w:cs="仿宋"/>
          <w:sz w:val="24"/>
          <w:szCs w:val="21"/>
        </w:rPr>
      </w:pPr>
    </w:p>
    <w:p w14:paraId="696711B9">
      <w:pPr>
        <w:spacing w:line="0" w:lineRule="atLeast"/>
        <w:ind w:firstLine="2160" w:firstLineChars="900"/>
        <w:rPr>
          <w:rFonts w:ascii="仿宋" w:hAnsi="仿宋" w:eastAsia="仿宋" w:cs="仿宋"/>
          <w:sz w:val="24"/>
          <w:szCs w:val="21"/>
        </w:rPr>
      </w:pPr>
      <w:r>
        <w:rPr>
          <w:rFonts w:hint="eastAsia" w:ascii="仿宋" w:hAnsi="仿宋" w:eastAsia="仿宋" w:cs="仿宋"/>
          <w:sz w:val="24"/>
          <w:szCs w:val="21"/>
        </w:rPr>
        <w:t xml:space="preserve">联合体其他成员单位名称：（加盖其他所有成员单位CA电子公章）      </w:t>
      </w:r>
    </w:p>
    <w:p w14:paraId="679D6E43">
      <w:pPr>
        <w:spacing w:line="0" w:lineRule="atLeast"/>
        <w:ind w:firstLine="2894" w:firstLineChars="1206"/>
        <w:rPr>
          <w:rFonts w:ascii="仿宋" w:hAnsi="仿宋" w:eastAsia="仿宋" w:cs="仿宋"/>
          <w:sz w:val="24"/>
          <w:szCs w:val="21"/>
          <w:highlight w:val="green"/>
        </w:rPr>
      </w:pPr>
    </w:p>
    <w:p w14:paraId="4EE64A77">
      <w:pPr>
        <w:spacing w:line="0" w:lineRule="atLeast"/>
        <w:ind w:firstLine="645"/>
        <w:rPr>
          <w:rFonts w:ascii="仿宋" w:hAnsi="仿宋" w:eastAsia="仿宋" w:cs="仿宋"/>
          <w:sz w:val="24"/>
          <w:szCs w:val="21"/>
        </w:rPr>
      </w:pPr>
      <w:r>
        <w:rPr>
          <w:rFonts w:hint="eastAsia" w:ascii="仿宋" w:hAnsi="仿宋" w:eastAsia="仿宋" w:cs="仿宋"/>
          <w:sz w:val="24"/>
          <w:szCs w:val="21"/>
        </w:rPr>
        <w:t xml:space="preserve">             日期：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 </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 </w:t>
      </w:r>
      <w:r>
        <w:rPr>
          <w:rFonts w:hint="eastAsia" w:ascii="仿宋" w:hAnsi="仿宋" w:eastAsia="仿宋" w:cs="仿宋"/>
          <w:sz w:val="24"/>
          <w:szCs w:val="21"/>
          <w:u w:val="single"/>
        </w:rPr>
        <w:t xml:space="preserve">   </w:t>
      </w:r>
      <w:r>
        <w:rPr>
          <w:rFonts w:hint="eastAsia" w:ascii="仿宋" w:hAnsi="仿宋" w:eastAsia="仿宋" w:cs="仿宋"/>
          <w:sz w:val="24"/>
          <w:szCs w:val="21"/>
        </w:rPr>
        <w:t>日</w:t>
      </w:r>
    </w:p>
    <w:p w14:paraId="4F5474D5">
      <w:pPr>
        <w:spacing w:line="560" w:lineRule="exact"/>
        <w:ind w:firstLine="645"/>
        <w:rPr>
          <w:rFonts w:ascii="仿宋" w:hAnsi="仿宋" w:eastAsia="仿宋" w:cs="仿宋"/>
          <w:sz w:val="24"/>
          <w:szCs w:val="21"/>
        </w:rPr>
      </w:pPr>
    </w:p>
    <w:p w14:paraId="681007B3">
      <w:pPr>
        <w:pStyle w:val="12"/>
        <w:ind w:firstLine="480"/>
        <w:rPr>
          <w:rFonts w:ascii="仿宋" w:hAnsi="仿宋" w:eastAsia="仿宋" w:cs="仿宋"/>
          <w:sz w:val="24"/>
          <w:szCs w:val="21"/>
        </w:rPr>
      </w:pPr>
    </w:p>
    <w:p w14:paraId="023D7742">
      <w:pPr>
        <w:rPr>
          <w:rFonts w:ascii="仿宋" w:hAnsi="仿宋" w:eastAsia="仿宋" w:cs="仿宋"/>
          <w:sz w:val="24"/>
          <w:szCs w:val="21"/>
        </w:rPr>
      </w:pPr>
    </w:p>
    <w:p w14:paraId="63940212">
      <w:pPr>
        <w:pStyle w:val="12"/>
        <w:ind w:firstLine="480"/>
        <w:rPr>
          <w:rFonts w:ascii="仿宋" w:hAnsi="仿宋" w:eastAsia="仿宋" w:cs="仿宋"/>
          <w:sz w:val="24"/>
          <w:szCs w:val="21"/>
        </w:rPr>
      </w:pPr>
    </w:p>
    <w:p w14:paraId="02E188ED">
      <w:pPr>
        <w:rPr>
          <w:rFonts w:ascii="仿宋" w:hAnsi="仿宋" w:eastAsia="仿宋" w:cs="仿宋"/>
          <w:b/>
          <w:bCs/>
        </w:rPr>
      </w:pPr>
    </w:p>
    <w:p w14:paraId="5F574C86">
      <w:pPr>
        <w:spacing w:line="0" w:lineRule="atLeast"/>
        <w:ind w:firstLine="482" w:firstLineChars="200"/>
        <w:rPr>
          <w:rFonts w:ascii="仿宋" w:hAnsi="仿宋" w:eastAsia="仿宋" w:cs="仿宋"/>
          <w:b/>
          <w:bCs/>
          <w:sz w:val="24"/>
          <w:szCs w:val="21"/>
        </w:rPr>
      </w:pPr>
      <w:r>
        <w:rPr>
          <w:rFonts w:hint="eastAsia" w:ascii="仿宋" w:hAnsi="仿宋" w:eastAsia="仿宋" w:cs="仿宋"/>
          <w:b/>
          <w:bCs/>
          <w:sz w:val="24"/>
          <w:szCs w:val="21"/>
        </w:rPr>
        <w:t>备注：如果本项目接受联合体参与磋商，本磋商文件中要求加盖CA</w:t>
      </w:r>
      <w:r>
        <w:rPr>
          <w:rFonts w:hint="eastAsia" w:ascii="仿宋" w:hAnsi="仿宋" w:eastAsia="仿宋" w:cs="仿宋"/>
          <w:b/>
          <w:bCs/>
          <w:sz w:val="24"/>
          <w:szCs w:val="24"/>
        </w:rPr>
        <w:t>电子公章</w:t>
      </w:r>
      <w:r>
        <w:rPr>
          <w:rFonts w:hint="eastAsia" w:ascii="仿宋" w:hAnsi="仿宋" w:eastAsia="仿宋" w:cs="仿宋"/>
          <w:b/>
          <w:bCs/>
          <w:sz w:val="24"/>
          <w:szCs w:val="21"/>
        </w:rPr>
        <w:t>的地方，仅需加盖牵头单位的</w:t>
      </w:r>
      <w:r>
        <w:rPr>
          <w:rFonts w:hint="eastAsia" w:ascii="仿宋" w:hAnsi="仿宋" w:eastAsia="仿宋" w:cs="仿宋"/>
          <w:b/>
          <w:bCs/>
          <w:sz w:val="24"/>
          <w:szCs w:val="24"/>
        </w:rPr>
        <w:t>CA电子</w:t>
      </w:r>
      <w:r>
        <w:rPr>
          <w:rFonts w:hint="eastAsia" w:ascii="仿宋" w:hAnsi="仿宋" w:eastAsia="仿宋" w:cs="仿宋"/>
          <w:b/>
          <w:bCs/>
          <w:sz w:val="24"/>
          <w:szCs w:val="21"/>
        </w:rPr>
        <w:t>公章【本附件《联合体协议》除外】。</w:t>
      </w:r>
    </w:p>
    <w:p w14:paraId="55863C43">
      <w:pPr>
        <w:spacing w:before="240" w:line="312" w:lineRule="auto"/>
        <w:rPr>
          <w:rFonts w:ascii="仿宋" w:hAnsi="仿宋" w:eastAsia="仿宋" w:cs="仿宋"/>
          <w:b/>
          <w:bCs/>
          <w:strike/>
          <w:color w:val="FF0000"/>
          <w:sz w:val="24"/>
          <w:szCs w:val="24"/>
        </w:rPr>
      </w:pPr>
    </w:p>
    <w:p w14:paraId="2DCDE1FD">
      <w:pPr>
        <w:spacing w:line="0" w:lineRule="atLeast"/>
        <w:jc w:val="center"/>
        <w:rPr>
          <w:rFonts w:ascii="仿宋" w:hAnsi="仿宋" w:eastAsia="仿宋" w:cs="仿宋"/>
          <w:b/>
          <w:strike/>
          <w:sz w:val="28"/>
          <w:szCs w:val="28"/>
        </w:rPr>
      </w:pPr>
    </w:p>
    <w:p w14:paraId="7DD70569">
      <w:pPr>
        <w:pStyle w:val="12"/>
        <w:ind w:firstLine="562"/>
        <w:rPr>
          <w:rFonts w:ascii="仿宋" w:hAnsi="仿宋" w:eastAsia="仿宋" w:cs="仿宋"/>
          <w:b/>
          <w:strike/>
          <w:sz w:val="28"/>
          <w:szCs w:val="28"/>
        </w:rPr>
      </w:pPr>
    </w:p>
    <w:p w14:paraId="05C99812">
      <w:pPr>
        <w:rPr>
          <w:rFonts w:ascii="仿宋" w:hAnsi="仿宋" w:eastAsia="仿宋" w:cs="仿宋"/>
          <w:b/>
          <w:strike/>
          <w:sz w:val="28"/>
          <w:szCs w:val="28"/>
        </w:rPr>
      </w:pPr>
    </w:p>
    <w:p w14:paraId="30E66E18">
      <w:pPr>
        <w:snapToGrid w:val="0"/>
        <w:spacing w:line="300" w:lineRule="auto"/>
        <w:contextualSpacing/>
        <w:rPr>
          <w:rFonts w:ascii="仿宋" w:hAnsi="仿宋" w:eastAsia="仿宋" w:cs="仿宋"/>
          <w:b/>
          <w:sz w:val="28"/>
          <w:szCs w:val="28"/>
        </w:rPr>
      </w:pPr>
    </w:p>
    <w:p w14:paraId="3C6F46AE">
      <w:pPr>
        <w:snapToGrid w:val="0"/>
        <w:spacing w:line="300" w:lineRule="auto"/>
        <w:contextualSpacing/>
        <w:rPr>
          <w:rFonts w:ascii="仿宋" w:hAnsi="仿宋" w:eastAsia="仿宋" w:cs="仿宋"/>
          <w:b/>
          <w:sz w:val="28"/>
          <w:szCs w:val="28"/>
        </w:rPr>
      </w:pPr>
    </w:p>
    <w:p w14:paraId="7FDC74BE">
      <w:pPr>
        <w:snapToGrid w:val="0"/>
        <w:spacing w:line="300" w:lineRule="auto"/>
        <w:contextualSpacing/>
        <w:jc w:val="left"/>
        <w:rPr>
          <w:rFonts w:ascii="仿宋" w:hAnsi="仿宋" w:eastAsia="仿宋" w:cs="仿宋"/>
          <w:b/>
          <w:sz w:val="28"/>
          <w:szCs w:val="28"/>
        </w:rPr>
      </w:pPr>
      <w:r>
        <w:rPr>
          <w:rFonts w:hint="eastAsia" w:ascii="仿宋" w:hAnsi="仿宋" w:eastAsia="仿宋" w:cs="仿宋"/>
          <w:b/>
          <w:sz w:val="28"/>
          <w:szCs w:val="28"/>
        </w:rPr>
        <w:t>附件9</w:t>
      </w:r>
    </w:p>
    <w:p w14:paraId="70B738DB">
      <w:pPr>
        <w:snapToGrid w:val="0"/>
        <w:spacing w:line="300" w:lineRule="auto"/>
        <w:ind w:firstLine="3373" w:firstLineChars="1200"/>
        <w:contextualSpacing/>
        <w:rPr>
          <w:rFonts w:ascii="仿宋" w:hAnsi="仿宋" w:eastAsia="仿宋" w:cs="仿宋"/>
          <w:b/>
          <w:sz w:val="28"/>
          <w:szCs w:val="28"/>
        </w:rPr>
      </w:pPr>
      <w:r>
        <w:rPr>
          <w:rFonts w:hint="eastAsia" w:ascii="仿宋" w:hAnsi="仿宋" w:eastAsia="仿宋" w:cs="仿宋"/>
          <w:b/>
          <w:sz w:val="28"/>
          <w:szCs w:val="28"/>
        </w:rPr>
        <w:t>技术要求响应及偏离表</w:t>
      </w:r>
    </w:p>
    <w:p w14:paraId="60E48ABE">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00FF24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0804C5F0">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8F663AD">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21F55482">
            <w:pPr>
              <w:spacing w:line="340" w:lineRule="exact"/>
              <w:jc w:val="center"/>
              <w:rPr>
                <w:rFonts w:ascii="仿宋" w:hAnsi="仿宋" w:eastAsia="仿宋" w:cs="仿宋"/>
                <w:sz w:val="24"/>
              </w:rPr>
            </w:pPr>
            <w:r>
              <w:rPr>
                <w:rFonts w:hint="eastAsia" w:ascii="仿宋" w:hAnsi="仿宋" w:eastAsia="仿宋" w:cs="仿宋"/>
                <w:sz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602681F5">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63C5F6C5">
            <w:pPr>
              <w:spacing w:line="340" w:lineRule="exact"/>
              <w:jc w:val="center"/>
              <w:rPr>
                <w:rFonts w:ascii="仿宋" w:hAnsi="仿宋" w:eastAsia="仿宋" w:cs="仿宋"/>
                <w:sz w:val="24"/>
              </w:rPr>
            </w:pPr>
          </w:p>
          <w:p w14:paraId="2BEB7C6F">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44E00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1A4E9798">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10E60C5C">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B4C35FA">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DA072C4">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652864E1">
            <w:pPr>
              <w:spacing w:line="340" w:lineRule="exact"/>
              <w:jc w:val="left"/>
              <w:rPr>
                <w:rFonts w:ascii="仿宋" w:hAnsi="仿宋" w:eastAsia="仿宋" w:cs="仿宋"/>
                <w:sz w:val="24"/>
              </w:rPr>
            </w:pPr>
          </w:p>
        </w:tc>
      </w:tr>
      <w:tr w14:paraId="512FB8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9D5BDCD">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7DA69F90">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F95F1A3">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7BD2755">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24A92C06">
            <w:pPr>
              <w:spacing w:line="340" w:lineRule="exact"/>
              <w:jc w:val="left"/>
              <w:rPr>
                <w:rFonts w:ascii="仿宋" w:hAnsi="仿宋" w:eastAsia="仿宋" w:cs="仿宋"/>
                <w:sz w:val="24"/>
              </w:rPr>
            </w:pPr>
          </w:p>
        </w:tc>
      </w:tr>
      <w:tr w14:paraId="16E1AD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3948491C">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72153A84">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F545EF0">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2D2A7BE7">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69929F64">
            <w:pPr>
              <w:spacing w:line="340" w:lineRule="exact"/>
              <w:jc w:val="left"/>
              <w:rPr>
                <w:rFonts w:ascii="仿宋" w:hAnsi="仿宋" w:eastAsia="仿宋" w:cs="仿宋"/>
                <w:sz w:val="24"/>
              </w:rPr>
            </w:pPr>
          </w:p>
        </w:tc>
      </w:tr>
      <w:tr w14:paraId="4695ED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168D1E11">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11A66FB8">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0313198">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E202DA9">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157A0813">
            <w:pPr>
              <w:spacing w:line="340" w:lineRule="exact"/>
              <w:jc w:val="left"/>
              <w:rPr>
                <w:rFonts w:ascii="仿宋" w:hAnsi="仿宋" w:eastAsia="仿宋" w:cs="仿宋"/>
                <w:sz w:val="24"/>
              </w:rPr>
            </w:pPr>
          </w:p>
        </w:tc>
      </w:tr>
      <w:tr w14:paraId="00DA4B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79FD9340">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1254" w:type="pct"/>
            <w:tcBorders>
              <w:top w:val="single" w:color="auto" w:sz="6" w:space="0"/>
              <w:left w:val="single" w:color="auto" w:sz="6" w:space="0"/>
              <w:bottom w:val="single" w:color="auto" w:sz="6" w:space="0"/>
              <w:right w:val="single" w:color="auto" w:sz="6" w:space="0"/>
            </w:tcBorders>
            <w:vAlign w:val="center"/>
          </w:tcPr>
          <w:p w14:paraId="22B13F43">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vAlign w:val="center"/>
          </w:tcPr>
          <w:p w14:paraId="79DDAD86">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0C52E16">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34A2BEDA">
            <w:pPr>
              <w:spacing w:line="340" w:lineRule="exact"/>
              <w:jc w:val="left"/>
              <w:rPr>
                <w:rFonts w:ascii="仿宋" w:hAnsi="仿宋" w:eastAsia="仿宋" w:cs="仿宋"/>
                <w:sz w:val="24"/>
              </w:rPr>
            </w:pPr>
          </w:p>
        </w:tc>
      </w:tr>
    </w:tbl>
    <w:p w14:paraId="43A47569">
      <w:pPr>
        <w:spacing w:line="400" w:lineRule="exact"/>
        <w:rPr>
          <w:rFonts w:ascii="仿宋" w:hAnsi="仿宋" w:eastAsia="仿宋" w:cs="仿宋"/>
          <w:sz w:val="24"/>
          <w:szCs w:val="24"/>
        </w:rPr>
      </w:pPr>
      <w:r>
        <w:rPr>
          <w:rFonts w:hint="eastAsia" w:ascii="仿宋" w:hAnsi="仿宋" w:eastAsia="仿宋" w:cs="仿宋"/>
          <w:sz w:val="24"/>
          <w:szCs w:val="24"/>
        </w:rPr>
        <w:t>附件9-1  证明材料1，证明材料2，……</w:t>
      </w:r>
    </w:p>
    <w:p w14:paraId="4E5A4A6B">
      <w:pPr>
        <w:spacing w:line="400" w:lineRule="exact"/>
        <w:rPr>
          <w:rFonts w:ascii="仿宋" w:hAnsi="仿宋" w:eastAsia="仿宋" w:cs="仿宋"/>
          <w:sz w:val="24"/>
          <w:szCs w:val="24"/>
        </w:rPr>
      </w:pPr>
    </w:p>
    <w:p w14:paraId="47CD4ABF">
      <w:pPr>
        <w:spacing w:line="400" w:lineRule="exact"/>
        <w:rPr>
          <w:rFonts w:ascii="仿宋" w:hAnsi="仿宋" w:eastAsia="仿宋" w:cs="仿宋"/>
          <w:sz w:val="24"/>
          <w:szCs w:val="24"/>
        </w:rPr>
      </w:pPr>
      <w:r>
        <w:rPr>
          <w:rFonts w:hint="eastAsia" w:ascii="仿宋" w:hAnsi="仿宋" w:eastAsia="仿宋" w:cs="仿宋"/>
          <w:sz w:val="24"/>
          <w:szCs w:val="24"/>
        </w:rPr>
        <w:t>备注：</w:t>
      </w:r>
    </w:p>
    <w:p w14:paraId="16042130">
      <w:pPr>
        <w:snapToGrid w:val="0"/>
        <w:spacing w:line="300" w:lineRule="auto"/>
        <w:contextualSpacing/>
        <w:rPr>
          <w:rFonts w:ascii="仿宋" w:hAnsi="仿宋" w:eastAsia="仿宋" w:cs="仿宋"/>
          <w:b/>
          <w:bCs/>
          <w:color w:val="000000"/>
          <w:sz w:val="24"/>
        </w:rPr>
      </w:pPr>
      <w:r>
        <w:rPr>
          <w:rFonts w:hint="eastAsia" w:ascii="仿宋" w:hAnsi="仿宋" w:eastAsia="仿宋" w:cs="仿宋"/>
          <w:color w:val="000000"/>
          <w:sz w:val="24"/>
        </w:rPr>
        <w:t>1. 供应商提交的响应文件中与磋商文件第四章“采购需求”中的技术要求（</w:t>
      </w:r>
      <w:r>
        <w:rPr>
          <w:rFonts w:hint="eastAsia" w:ascii="仿宋" w:hAnsi="仿宋" w:eastAsia="仿宋" w:cs="仿宋"/>
          <w:b/>
          <w:bCs/>
          <w:color w:val="000000"/>
          <w:sz w:val="24"/>
        </w:rPr>
        <w:t>未加斜体下划线的非实质性内容</w:t>
      </w:r>
      <w:r>
        <w:rPr>
          <w:rFonts w:hint="eastAsia" w:ascii="仿宋" w:hAnsi="仿宋" w:eastAsia="仿宋" w:cs="仿宋"/>
          <w:color w:val="000000"/>
          <w:sz w:val="24"/>
        </w:rPr>
        <w:t>）如有偏离的，应逐条填列在偏离表中。</w:t>
      </w:r>
      <w:r>
        <w:rPr>
          <w:rFonts w:hint="eastAsia" w:ascii="仿宋" w:hAnsi="仿宋" w:eastAsia="仿宋" w:cs="仿宋"/>
          <w:b/>
          <w:bCs/>
          <w:color w:val="000000"/>
          <w:sz w:val="24"/>
          <w:szCs w:val="24"/>
        </w:rPr>
        <w:t>如果磋商文件要求提供证明材料，供应商需将证明材料列于该表之下。</w:t>
      </w:r>
    </w:p>
    <w:p w14:paraId="5C7BA4C0">
      <w:pPr>
        <w:snapToGrid w:val="0"/>
        <w:spacing w:line="300" w:lineRule="auto"/>
        <w:contextualSpacing/>
        <w:rPr>
          <w:rFonts w:ascii="仿宋" w:hAnsi="仿宋" w:eastAsia="仿宋" w:cs="仿宋"/>
          <w:color w:val="000000"/>
          <w:sz w:val="24"/>
        </w:rPr>
      </w:pPr>
      <w:r>
        <w:rPr>
          <w:rFonts w:hint="eastAsia" w:ascii="仿宋" w:hAnsi="仿宋" w:eastAsia="仿宋" w:cs="仿宋"/>
          <w:color w:val="000000"/>
          <w:sz w:val="24"/>
        </w:rPr>
        <w:t>2.“偏离说明”一栏选择“正偏离”、“无偏离”、“负偏离”进行填写。未填写的内容视为完全响应本磋商文件要求。正偏离、无偏离的确认和负偏离是否响应磋商文件，由磋商小组认定。</w:t>
      </w:r>
    </w:p>
    <w:p w14:paraId="79D29A1C">
      <w:pPr>
        <w:pStyle w:val="12"/>
        <w:rPr>
          <w:rFonts w:ascii="仿宋" w:hAnsi="仿宋" w:eastAsia="仿宋" w:cs="仿宋"/>
        </w:rPr>
      </w:pPr>
    </w:p>
    <w:p w14:paraId="4EB97600">
      <w:pPr>
        <w:ind w:left="480"/>
        <w:rPr>
          <w:rFonts w:ascii="仿宋" w:hAnsi="仿宋" w:eastAsia="仿宋" w:cs="仿宋"/>
          <w:b/>
          <w:i/>
          <w:color w:val="FF0000"/>
          <w:sz w:val="24"/>
          <w:szCs w:val="21"/>
          <w:u w:val="single"/>
        </w:rPr>
      </w:pPr>
    </w:p>
    <w:p w14:paraId="521C2938">
      <w:pPr>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附件10</w:t>
      </w:r>
    </w:p>
    <w:p w14:paraId="07BD4367">
      <w:pPr>
        <w:rPr>
          <w:rFonts w:ascii="仿宋" w:hAnsi="仿宋" w:eastAsia="仿宋" w:cs="仿宋"/>
          <w:b/>
          <w:sz w:val="28"/>
          <w:szCs w:val="28"/>
        </w:rPr>
      </w:pPr>
      <w:r>
        <w:rPr>
          <w:rFonts w:hint="eastAsia" w:ascii="仿宋" w:hAnsi="仿宋" w:eastAsia="仿宋" w:cs="仿宋"/>
          <w:b/>
          <w:sz w:val="28"/>
          <w:szCs w:val="28"/>
        </w:rPr>
        <w:t xml:space="preserve"> </w:t>
      </w:r>
    </w:p>
    <w:p w14:paraId="3CFD7714">
      <w:pPr>
        <w:ind w:firstLine="562" w:firstLineChars="200"/>
        <w:jc w:val="center"/>
        <w:rPr>
          <w:rFonts w:ascii="仿宋" w:hAnsi="仿宋" w:eastAsia="仿宋" w:cs="仿宋"/>
          <w:b/>
          <w:sz w:val="28"/>
          <w:szCs w:val="28"/>
        </w:rPr>
      </w:pPr>
      <w:r>
        <w:rPr>
          <w:rFonts w:hint="eastAsia" w:ascii="仿宋" w:hAnsi="仿宋" w:eastAsia="仿宋" w:cs="仿宋"/>
          <w:b/>
          <w:sz w:val="28"/>
          <w:szCs w:val="28"/>
        </w:rPr>
        <w:t>商务要求响应及偏离表</w:t>
      </w:r>
    </w:p>
    <w:p w14:paraId="78D329DB">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0A8A68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71F70EE">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A894B78">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612645E5">
            <w:pPr>
              <w:spacing w:line="340" w:lineRule="exact"/>
              <w:jc w:val="center"/>
              <w:rPr>
                <w:rFonts w:ascii="仿宋" w:hAnsi="仿宋" w:eastAsia="仿宋" w:cs="仿宋"/>
                <w:sz w:val="24"/>
              </w:rPr>
            </w:pPr>
            <w:r>
              <w:rPr>
                <w:rFonts w:hint="eastAsia" w:ascii="仿宋" w:hAnsi="仿宋" w:eastAsia="仿宋" w:cs="仿宋"/>
                <w:sz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635DFEDA">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739DF913">
            <w:pPr>
              <w:spacing w:line="340" w:lineRule="exact"/>
              <w:jc w:val="center"/>
              <w:rPr>
                <w:rFonts w:ascii="仿宋" w:hAnsi="仿宋" w:eastAsia="仿宋" w:cs="仿宋"/>
                <w:sz w:val="24"/>
              </w:rPr>
            </w:pPr>
          </w:p>
          <w:p w14:paraId="2B6EBF9A">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184DB5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5728A771">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67BC31D0">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09AEE68">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F2E1CD3">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3CF0BFC4">
            <w:pPr>
              <w:spacing w:line="340" w:lineRule="exact"/>
              <w:jc w:val="left"/>
              <w:rPr>
                <w:rFonts w:ascii="仿宋" w:hAnsi="仿宋" w:eastAsia="仿宋" w:cs="仿宋"/>
                <w:sz w:val="24"/>
              </w:rPr>
            </w:pPr>
          </w:p>
        </w:tc>
      </w:tr>
      <w:tr w14:paraId="2BD8C3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6D66E948">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6B7F5235">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8984796">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A0E3682">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5DB1B8DD">
            <w:pPr>
              <w:spacing w:line="340" w:lineRule="exact"/>
              <w:jc w:val="left"/>
              <w:rPr>
                <w:rFonts w:ascii="仿宋" w:hAnsi="仿宋" w:eastAsia="仿宋" w:cs="仿宋"/>
                <w:sz w:val="24"/>
              </w:rPr>
            </w:pPr>
          </w:p>
        </w:tc>
      </w:tr>
      <w:tr w14:paraId="26AD80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56A2486">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0AD042EA">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1EB00A9">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2F4ACEFF">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697AB5DB">
            <w:pPr>
              <w:spacing w:line="340" w:lineRule="exact"/>
              <w:jc w:val="left"/>
              <w:rPr>
                <w:rFonts w:ascii="仿宋" w:hAnsi="仿宋" w:eastAsia="仿宋" w:cs="仿宋"/>
                <w:sz w:val="24"/>
              </w:rPr>
            </w:pPr>
          </w:p>
        </w:tc>
      </w:tr>
      <w:tr w14:paraId="71CF72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1D9554FA">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7F6E0FEB">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9A55DCC">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AD36726">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2403AC23">
            <w:pPr>
              <w:spacing w:line="340" w:lineRule="exact"/>
              <w:jc w:val="left"/>
              <w:rPr>
                <w:rFonts w:ascii="仿宋" w:hAnsi="仿宋" w:eastAsia="仿宋" w:cs="仿宋"/>
                <w:sz w:val="24"/>
              </w:rPr>
            </w:pPr>
          </w:p>
        </w:tc>
      </w:tr>
      <w:tr w14:paraId="0D6168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774E39BB">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464ACA18">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vAlign w:val="center"/>
          </w:tcPr>
          <w:p w14:paraId="29ACE61B">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90BC125">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5A9CD320">
            <w:pPr>
              <w:spacing w:line="340" w:lineRule="exact"/>
              <w:jc w:val="left"/>
              <w:rPr>
                <w:rFonts w:ascii="仿宋" w:hAnsi="仿宋" w:eastAsia="仿宋" w:cs="仿宋"/>
                <w:sz w:val="24"/>
              </w:rPr>
            </w:pPr>
          </w:p>
        </w:tc>
      </w:tr>
    </w:tbl>
    <w:p w14:paraId="72922E9B">
      <w:pPr>
        <w:spacing w:line="400" w:lineRule="exact"/>
        <w:rPr>
          <w:rFonts w:ascii="仿宋" w:hAnsi="仿宋" w:eastAsia="仿宋" w:cs="仿宋"/>
          <w:sz w:val="24"/>
          <w:szCs w:val="24"/>
        </w:rPr>
      </w:pPr>
      <w:r>
        <w:rPr>
          <w:rFonts w:hint="eastAsia" w:ascii="仿宋" w:hAnsi="仿宋" w:eastAsia="仿宋" w:cs="仿宋"/>
          <w:sz w:val="24"/>
          <w:szCs w:val="24"/>
        </w:rPr>
        <w:t>附件10-1  证明材料1，证明材料2，……</w:t>
      </w:r>
    </w:p>
    <w:p w14:paraId="177863A4">
      <w:pPr>
        <w:spacing w:line="400" w:lineRule="exact"/>
        <w:rPr>
          <w:rFonts w:ascii="仿宋" w:hAnsi="仿宋" w:eastAsia="仿宋" w:cs="仿宋"/>
          <w:sz w:val="24"/>
          <w:szCs w:val="24"/>
        </w:rPr>
      </w:pPr>
    </w:p>
    <w:p w14:paraId="1EBCB0DD">
      <w:pPr>
        <w:spacing w:line="400" w:lineRule="exact"/>
        <w:rPr>
          <w:rFonts w:ascii="仿宋" w:hAnsi="仿宋" w:eastAsia="仿宋" w:cs="仿宋"/>
          <w:sz w:val="24"/>
          <w:szCs w:val="24"/>
        </w:rPr>
      </w:pPr>
      <w:r>
        <w:rPr>
          <w:rFonts w:hint="eastAsia" w:ascii="仿宋" w:hAnsi="仿宋" w:eastAsia="仿宋" w:cs="仿宋"/>
          <w:sz w:val="24"/>
          <w:szCs w:val="24"/>
        </w:rPr>
        <w:t>备注：</w:t>
      </w:r>
    </w:p>
    <w:p w14:paraId="58BF8A8F">
      <w:pPr>
        <w:spacing w:line="400" w:lineRule="exact"/>
        <w:rPr>
          <w:rFonts w:ascii="仿宋" w:hAnsi="仿宋" w:eastAsia="仿宋" w:cs="仿宋"/>
          <w:sz w:val="24"/>
          <w:szCs w:val="24"/>
        </w:rPr>
      </w:pPr>
      <w:r>
        <w:rPr>
          <w:rFonts w:hint="eastAsia" w:ascii="仿宋" w:hAnsi="仿宋" w:eastAsia="仿宋" w:cs="仿宋"/>
          <w:sz w:val="24"/>
          <w:szCs w:val="24"/>
        </w:rPr>
        <w:t>1. 供应商提交的响应文件中与磋商文件第四章“采购需求”中的商务要求</w:t>
      </w:r>
      <w:r>
        <w:rPr>
          <w:rFonts w:hint="eastAsia" w:ascii="仿宋" w:hAnsi="仿宋" w:eastAsia="仿宋" w:cs="仿宋"/>
          <w:b/>
          <w:bCs/>
          <w:color w:val="000000"/>
          <w:sz w:val="24"/>
        </w:rPr>
        <w:t>（未加斜体下划线的非实质性内容）</w:t>
      </w:r>
      <w:r>
        <w:rPr>
          <w:rFonts w:hint="eastAsia" w:ascii="仿宋" w:hAnsi="仿宋" w:eastAsia="仿宋" w:cs="仿宋"/>
          <w:sz w:val="24"/>
          <w:szCs w:val="24"/>
        </w:rPr>
        <w:t>如有偏离的，应逐条填列在偏离表中。如果磋商文件要求提供证明材料，供应商需将证明材料列于该表之下。</w:t>
      </w:r>
    </w:p>
    <w:p w14:paraId="1C0CE14B">
      <w:pPr>
        <w:spacing w:line="400" w:lineRule="exact"/>
        <w:rPr>
          <w:rFonts w:ascii="仿宋" w:hAnsi="仿宋" w:eastAsia="仿宋" w:cs="仿宋"/>
          <w:sz w:val="24"/>
          <w:szCs w:val="24"/>
        </w:rPr>
      </w:pPr>
      <w:r>
        <w:rPr>
          <w:rFonts w:hint="eastAsia" w:ascii="仿宋" w:hAnsi="仿宋" w:eastAsia="仿宋" w:cs="仿宋"/>
          <w:sz w:val="24"/>
          <w:szCs w:val="24"/>
        </w:rPr>
        <w:t>2.“偏离说明”一栏选择“正偏离”、“无偏离”、“负偏离”进行填写。未填写的内容视为完全响应本磋商文件要求。正偏离、无偏离的确认和负偏离是否响应磋商文件，由磋商小组认定。</w:t>
      </w:r>
    </w:p>
    <w:p w14:paraId="54BB7BF7">
      <w:pPr>
        <w:snapToGrid w:val="0"/>
        <w:spacing w:line="300" w:lineRule="auto"/>
        <w:ind w:firstLine="480" w:firstLineChars="200"/>
        <w:contextualSpacing/>
        <w:rPr>
          <w:rFonts w:ascii="仿宋" w:hAnsi="仿宋" w:eastAsia="仿宋" w:cs="仿宋"/>
          <w:sz w:val="24"/>
        </w:rPr>
      </w:pPr>
    </w:p>
    <w:p w14:paraId="4B2E8190">
      <w:pPr>
        <w:ind w:left="480"/>
        <w:rPr>
          <w:rFonts w:ascii="仿宋" w:hAnsi="仿宋" w:eastAsia="仿宋" w:cs="仿宋"/>
          <w:b/>
          <w:i/>
          <w:color w:val="FF0000"/>
          <w:sz w:val="24"/>
          <w:szCs w:val="21"/>
          <w:u w:val="single"/>
        </w:rPr>
      </w:pPr>
    </w:p>
    <w:p w14:paraId="081843A7">
      <w:pPr>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附件11</w:t>
      </w:r>
    </w:p>
    <w:p w14:paraId="30BB2E04">
      <w:pPr>
        <w:jc w:val="center"/>
        <w:rPr>
          <w:rFonts w:ascii="仿宋" w:hAnsi="仿宋" w:eastAsia="仿宋" w:cs="仿宋"/>
          <w:b/>
          <w:sz w:val="28"/>
          <w:szCs w:val="28"/>
        </w:rPr>
      </w:pPr>
      <w:r>
        <w:rPr>
          <w:rFonts w:hint="eastAsia" w:ascii="仿宋" w:hAnsi="仿宋" w:eastAsia="仿宋" w:cs="仿宋"/>
          <w:b/>
          <w:sz w:val="28"/>
          <w:szCs w:val="28"/>
        </w:rPr>
        <w:t>实质性要求响应及偏离表</w:t>
      </w:r>
    </w:p>
    <w:p w14:paraId="1768E1C1">
      <w:pPr>
        <w:pStyle w:val="12"/>
        <w:rPr>
          <w:rFonts w:ascii="仿宋" w:hAnsi="仿宋" w:eastAsia="仿宋" w:cs="仿宋"/>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5624A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43ADD886">
            <w:pPr>
              <w:spacing w:line="400" w:lineRule="exact"/>
              <w:jc w:val="center"/>
              <w:rPr>
                <w:rFonts w:ascii="仿宋" w:hAnsi="仿宋" w:eastAsia="仿宋" w:cs="仿宋"/>
                <w:sz w:val="24"/>
                <w:szCs w:val="24"/>
              </w:rPr>
            </w:pPr>
            <w:r>
              <w:rPr>
                <w:rFonts w:hint="eastAsia" w:ascii="仿宋" w:hAnsi="仿宋" w:eastAsia="仿宋" w:cs="仿宋"/>
                <w:sz w:val="24"/>
                <w:szCs w:val="24"/>
              </w:rPr>
              <w:t>序号</w:t>
            </w:r>
          </w:p>
        </w:tc>
        <w:tc>
          <w:tcPr>
            <w:tcW w:w="3609" w:type="dxa"/>
            <w:vAlign w:val="center"/>
          </w:tcPr>
          <w:p w14:paraId="5B4C9095">
            <w:pPr>
              <w:spacing w:line="400" w:lineRule="exact"/>
              <w:jc w:val="center"/>
              <w:rPr>
                <w:rFonts w:ascii="仿宋" w:hAnsi="仿宋" w:eastAsia="仿宋" w:cs="仿宋"/>
                <w:sz w:val="24"/>
                <w:szCs w:val="24"/>
              </w:rPr>
            </w:pPr>
            <w:r>
              <w:rPr>
                <w:rFonts w:hint="eastAsia" w:ascii="仿宋" w:hAnsi="仿宋" w:eastAsia="仿宋" w:cs="仿宋"/>
                <w:sz w:val="24"/>
                <w:szCs w:val="24"/>
              </w:rPr>
              <w:t>磋商文件技术要求和商务要求中的实质性要求</w:t>
            </w:r>
            <w:r>
              <w:rPr>
                <w:rFonts w:hint="eastAsia" w:ascii="仿宋" w:hAnsi="仿宋" w:eastAsia="仿宋" w:cs="仿宋"/>
                <w:i/>
                <w:sz w:val="24"/>
                <w:szCs w:val="24"/>
                <w:u w:val="single"/>
              </w:rPr>
              <w:t>（加斜体下划线内容）</w:t>
            </w:r>
          </w:p>
        </w:tc>
        <w:tc>
          <w:tcPr>
            <w:tcW w:w="3317" w:type="dxa"/>
            <w:vAlign w:val="center"/>
          </w:tcPr>
          <w:p w14:paraId="0AF8C225">
            <w:pPr>
              <w:spacing w:line="400" w:lineRule="exact"/>
              <w:jc w:val="center"/>
              <w:rPr>
                <w:rFonts w:ascii="仿宋" w:hAnsi="仿宋" w:eastAsia="仿宋" w:cs="仿宋"/>
                <w:sz w:val="24"/>
                <w:szCs w:val="24"/>
              </w:rPr>
            </w:pPr>
            <w:r>
              <w:rPr>
                <w:rFonts w:hint="eastAsia" w:ascii="仿宋" w:hAnsi="仿宋" w:eastAsia="仿宋" w:cs="仿宋"/>
                <w:sz w:val="24"/>
                <w:szCs w:val="24"/>
              </w:rPr>
              <w:t>响应情况</w:t>
            </w:r>
          </w:p>
        </w:tc>
        <w:tc>
          <w:tcPr>
            <w:tcW w:w="1526" w:type="dxa"/>
            <w:vAlign w:val="center"/>
          </w:tcPr>
          <w:p w14:paraId="08B1E95E">
            <w:pPr>
              <w:spacing w:line="400" w:lineRule="exact"/>
              <w:jc w:val="center"/>
              <w:rPr>
                <w:rFonts w:ascii="仿宋" w:hAnsi="仿宋" w:eastAsia="仿宋" w:cs="仿宋"/>
                <w:sz w:val="24"/>
                <w:szCs w:val="24"/>
              </w:rPr>
            </w:pPr>
            <w:r>
              <w:rPr>
                <w:rFonts w:hint="eastAsia" w:ascii="仿宋" w:hAnsi="仿宋" w:eastAsia="仿宋" w:cs="仿宋"/>
                <w:sz w:val="24"/>
                <w:szCs w:val="24"/>
              </w:rPr>
              <w:t>正偏离、无偏离、负偏离</w:t>
            </w:r>
          </w:p>
        </w:tc>
      </w:tr>
      <w:tr w14:paraId="2D324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0821AAFD">
            <w:pPr>
              <w:spacing w:line="400" w:lineRule="exact"/>
              <w:jc w:val="center"/>
              <w:rPr>
                <w:rFonts w:ascii="仿宋" w:hAnsi="仿宋" w:eastAsia="仿宋" w:cs="仿宋"/>
                <w:sz w:val="24"/>
                <w:szCs w:val="24"/>
              </w:rPr>
            </w:pPr>
            <w:r>
              <w:rPr>
                <w:rFonts w:hint="eastAsia" w:ascii="仿宋" w:hAnsi="仿宋" w:eastAsia="仿宋" w:cs="仿宋"/>
                <w:sz w:val="24"/>
                <w:szCs w:val="24"/>
              </w:rPr>
              <w:t>1</w:t>
            </w:r>
          </w:p>
        </w:tc>
        <w:tc>
          <w:tcPr>
            <w:tcW w:w="3609" w:type="dxa"/>
          </w:tcPr>
          <w:p w14:paraId="5554EE45">
            <w:pPr>
              <w:spacing w:line="400" w:lineRule="exact"/>
              <w:jc w:val="center"/>
              <w:rPr>
                <w:rFonts w:ascii="仿宋" w:hAnsi="仿宋" w:eastAsia="仿宋" w:cs="仿宋"/>
                <w:sz w:val="24"/>
                <w:szCs w:val="24"/>
              </w:rPr>
            </w:pPr>
          </w:p>
        </w:tc>
        <w:tc>
          <w:tcPr>
            <w:tcW w:w="3317" w:type="dxa"/>
          </w:tcPr>
          <w:p w14:paraId="4E210AD4">
            <w:pPr>
              <w:spacing w:line="400" w:lineRule="exact"/>
              <w:jc w:val="center"/>
              <w:rPr>
                <w:rFonts w:ascii="仿宋" w:hAnsi="仿宋" w:eastAsia="仿宋" w:cs="仿宋"/>
                <w:sz w:val="24"/>
                <w:szCs w:val="24"/>
              </w:rPr>
            </w:pPr>
          </w:p>
        </w:tc>
        <w:tc>
          <w:tcPr>
            <w:tcW w:w="1526" w:type="dxa"/>
          </w:tcPr>
          <w:p w14:paraId="77880AEC">
            <w:pPr>
              <w:spacing w:line="400" w:lineRule="exact"/>
              <w:jc w:val="center"/>
              <w:rPr>
                <w:rFonts w:ascii="仿宋" w:hAnsi="仿宋" w:eastAsia="仿宋" w:cs="仿宋"/>
                <w:sz w:val="24"/>
                <w:szCs w:val="24"/>
              </w:rPr>
            </w:pPr>
          </w:p>
        </w:tc>
      </w:tr>
      <w:tr w14:paraId="701C7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20A3B42D">
            <w:pPr>
              <w:spacing w:line="400" w:lineRule="exact"/>
              <w:jc w:val="center"/>
              <w:rPr>
                <w:rFonts w:ascii="仿宋" w:hAnsi="仿宋" w:eastAsia="仿宋" w:cs="仿宋"/>
                <w:sz w:val="24"/>
                <w:szCs w:val="24"/>
              </w:rPr>
            </w:pPr>
            <w:r>
              <w:rPr>
                <w:rFonts w:hint="eastAsia" w:ascii="仿宋" w:hAnsi="仿宋" w:eastAsia="仿宋" w:cs="仿宋"/>
                <w:sz w:val="24"/>
                <w:szCs w:val="24"/>
              </w:rPr>
              <w:t>2</w:t>
            </w:r>
          </w:p>
        </w:tc>
        <w:tc>
          <w:tcPr>
            <w:tcW w:w="3609" w:type="dxa"/>
          </w:tcPr>
          <w:p w14:paraId="323D6739">
            <w:pPr>
              <w:spacing w:line="400" w:lineRule="exact"/>
              <w:jc w:val="center"/>
              <w:rPr>
                <w:rFonts w:ascii="仿宋" w:hAnsi="仿宋" w:eastAsia="仿宋" w:cs="仿宋"/>
                <w:sz w:val="24"/>
                <w:szCs w:val="24"/>
              </w:rPr>
            </w:pPr>
          </w:p>
        </w:tc>
        <w:tc>
          <w:tcPr>
            <w:tcW w:w="3317" w:type="dxa"/>
          </w:tcPr>
          <w:p w14:paraId="534601E1">
            <w:pPr>
              <w:spacing w:line="400" w:lineRule="exact"/>
              <w:jc w:val="center"/>
              <w:rPr>
                <w:rFonts w:ascii="仿宋" w:hAnsi="仿宋" w:eastAsia="仿宋" w:cs="仿宋"/>
                <w:sz w:val="24"/>
                <w:szCs w:val="24"/>
              </w:rPr>
            </w:pPr>
          </w:p>
        </w:tc>
        <w:tc>
          <w:tcPr>
            <w:tcW w:w="1526" w:type="dxa"/>
          </w:tcPr>
          <w:p w14:paraId="5CF601D1">
            <w:pPr>
              <w:spacing w:line="400" w:lineRule="exact"/>
              <w:jc w:val="center"/>
              <w:rPr>
                <w:rFonts w:ascii="仿宋" w:hAnsi="仿宋" w:eastAsia="仿宋" w:cs="仿宋"/>
                <w:sz w:val="24"/>
                <w:szCs w:val="24"/>
              </w:rPr>
            </w:pPr>
          </w:p>
        </w:tc>
      </w:tr>
      <w:tr w14:paraId="1428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2A095330">
            <w:pPr>
              <w:spacing w:line="340" w:lineRule="exact"/>
              <w:jc w:val="center"/>
              <w:rPr>
                <w:rFonts w:ascii="仿宋" w:hAnsi="仿宋" w:eastAsia="仿宋" w:cs="仿宋"/>
                <w:sz w:val="24"/>
                <w:szCs w:val="24"/>
              </w:rPr>
            </w:pPr>
          </w:p>
          <w:p w14:paraId="03042CC8">
            <w:pPr>
              <w:spacing w:line="340" w:lineRule="exact"/>
              <w:jc w:val="center"/>
              <w:rPr>
                <w:rFonts w:ascii="仿宋" w:hAnsi="仿宋" w:eastAsia="仿宋" w:cs="仿宋"/>
                <w:sz w:val="24"/>
                <w:szCs w:val="24"/>
              </w:rPr>
            </w:pPr>
            <w:r>
              <w:rPr>
                <w:rFonts w:hint="eastAsia" w:ascii="仿宋" w:hAnsi="仿宋" w:eastAsia="仿宋" w:cs="仿宋"/>
                <w:sz w:val="24"/>
                <w:szCs w:val="24"/>
              </w:rPr>
              <w:t>…</w:t>
            </w:r>
          </w:p>
        </w:tc>
        <w:tc>
          <w:tcPr>
            <w:tcW w:w="3609" w:type="dxa"/>
            <w:vAlign w:val="center"/>
          </w:tcPr>
          <w:p w14:paraId="2FEA668D">
            <w:pPr>
              <w:spacing w:line="340" w:lineRule="exact"/>
              <w:jc w:val="left"/>
              <w:rPr>
                <w:rFonts w:ascii="仿宋" w:hAnsi="仿宋" w:eastAsia="仿宋" w:cs="仿宋"/>
                <w:sz w:val="24"/>
                <w:szCs w:val="24"/>
              </w:rPr>
            </w:pPr>
          </w:p>
          <w:p w14:paraId="19605C24">
            <w:pPr>
              <w:spacing w:line="340" w:lineRule="exact"/>
              <w:jc w:val="left"/>
              <w:rPr>
                <w:rFonts w:ascii="仿宋" w:hAnsi="仿宋" w:eastAsia="仿宋" w:cs="仿宋"/>
                <w:sz w:val="24"/>
                <w:szCs w:val="24"/>
              </w:rPr>
            </w:pPr>
            <w:r>
              <w:rPr>
                <w:rFonts w:hint="eastAsia" w:ascii="仿宋" w:hAnsi="仿宋" w:eastAsia="仿宋" w:cs="仿宋"/>
                <w:sz w:val="24"/>
                <w:szCs w:val="24"/>
              </w:rPr>
              <w:t>……</w:t>
            </w:r>
          </w:p>
        </w:tc>
        <w:tc>
          <w:tcPr>
            <w:tcW w:w="3317" w:type="dxa"/>
          </w:tcPr>
          <w:p w14:paraId="727E0CF6">
            <w:pPr>
              <w:spacing w:line="400" w:lineRule="exact"/>
              <w:jc w:val="center"/>
              <w:rPr>
                <w:rFonts w:ascii="仿宋" w:hAnsi="仿宋" w:eastAsia="仿宋" w:cs="仿宋"/>
                <w:sz w:val="24"/>
                <w:szCs w:val="24"/>
              </w:rPr>
            </w:pPr>
          </w:p>
        </w:tc>
        <w:tc>
          <w:tcPr>
            <w:tcW w:w="1526" w:type="dxa"/>
          </w:tcPr>
          <w:p w14:paraId="763EB609">
            <w:pPr>
              <w:spacing w:line="400" w:lineRule="exact"/>
              <w:jc w:val="center"/>
              <w:rPr>
                <w:rFonts w:ascii="仿宋" w:hAnsi="仿宋" w:eastAsia="仿宋" w:cs="仿宋"/>
                <w:sz w:val="24"/>
                <w:szCs w:val="24"/>
              </w:rPr>
            </w:pPr>
          </w:p>
        </w:tc>
      </w:tr>
    </w:tbl>
    <w:p w14:paraId="460595F6">
      <w:pPr>
        <w:spacing w:line="400" w:lineRule="exact"/>
        <w:rPr>
          <w:rFonts w:ascii="仿宋" w:hAnsi="仿宋" w:eastAsia="仿宋" w:cs="仿宋"/>
          <w:sz w:val="24"/>
          <w:szCs w:val="24"/>
        </w:rPr>
      </w:pPr>
      <w:r>
        <w:rPr>
          <w:rFonts w:hint="eastAsia" w:ascii="仿宋" w:hAnsi="仿宋" w:eastAsia="仿宋" w:cs="仿宋"/>
          <w:sz w:val="24"/>
          <w:szCs w:val="24"/>
        </w:rPr>
        <w:t>附件11-1 证明材料1，证明材料2，……</w:t>
      </w:r>
    </w:p>
    <w:p w14:paraId="713062F0">
      <w:pPr>
        <w:spacing w:line="400" w:lineRule="exact"/>
        <w:rPr>
          <w:rFonts w:ascii="仿宋" w:hAnsi="仿宋" w:eastAsia="仿宋" w:cs="仿宋"/>
          <w:sz w:val="24"/>
          <w:szCs w:val="24"/>
        </w:rPr>
      </w:pPr>
    </w:p>
    <w:p w14:paraId="32CC8A4C">
      <w:pPr>
        <w:spacing w:line="400" w:lineRule="exact"/>
        <w:rPr>
          <w:rFonts w:ascii="仿宋" w:hAnsi="仿宋" w:eastAsia="仿宋" w:cs="仿宋"/>
          <w:sz w:val="24"/>
          <w:szCs w:val="24"/>
        </w:rPr>
      </w:pPr>
      <w:r>
        <w:rPr>
          <w:rFonts w:hint="eastAsia" w:ascii="仿宋" w:hAnsi="仿宋" w:eastAsia="仿宋" w:cs="仿宋"/>
          <w:sz w:val="24"/>
          <w:szCs w:val="24"/>
        </w:rPr>
        <w:t>备注：</w:t>
      </w:r>
    </w:p>
    <w:p w14:paraId="15C5312F">
      <w:pPr>
        <w:spacing w:line="400" w:lineRule="exact"/>
        <w:rPr>
          <w:rFonts w:ascii="仿宋" w:hAnsi="仿宋" w:eastAsia="仿宋" w:cs="仿宋"/>
          <w:b/>
          <w:bCs/>
          <w:color w:val="0000FF"/>
          <w:sz w:val="24"/>
        </w:rPr>
      </w:pPr>
      <w:r>
        <w:rPr>
          <w:rFonts w:hint="eastAsia" w:ascii="仿宋" w:hAnsi="仿宋" w:eastAsia="仿宋" w:cs="仿宋"/>
          <w:sz w:val="24"/>
        </w:rPr>
        <w:t>1.供应商必须对技术要求和商务要求中的实质性要求（加斜体下划线内容）做出明确响应，未填写的内容视为完全响应本采购文件实质性要求。</w:t>
      </w:r>
    </w:p>
    <w:p w14:paraId="343455E1">
      <w:pPr>
        <w:spacing w:line="400" w:lineRule="exact"/>
        <w:rPr>
          <w:rFonts w:ascii="仿宋" w:hAnsi="仿宋" w:eastAsia="仿宋" w:cs="仿宋"/>
          <w:sz w:val="24"/>
        </w:rPr>
      </w:pPr>
      <w:r>
        <w:rPr>
          <w:rFonts w:hint="eastAsia" w:ascii="仿宋" w:hAnsi="仿宋" w:eastAsia="仿宋" w:cs="仿宋"/>
          <w:sz w:val="24"/>
        </w:rPr>
        <w:t>2.如果采购文件要求提供证明材料，供应商必须将证明材料列于该表之下，否则作无效响应处理。</w:t>
      </w:r>
    </w:p>
    <w:p w14:paraId="5AE8DCB6">
      <w:pPr>
        <w:spacing w:line="460" w:lineRule="exact"/>
        <w:rPr>
          <w:rFonts w:ascii="仿宋" w:hAnsi="仿宋" w:eastAsia="仿宋" w:cs="仿宋"/>
          <w:bCs/>
          <w:sz w:val="24"/>
          <w:szCs w:val="21"/>
        </w:rPr>
      </w:pPr>
    </w:p>
    <w:p w14:paraId="3641AA89">
      <w:pPr>
        <w:spacing w:line="460" w:lineRule="exact"/>
        <w:rPr>
          <w:rFonts w:ascii="仿宋" w:hAnsi="仿宋" w:eastAsia="仿宋" w:cs="仿宋"/>
          <w:bCs/>
          <w:sz w:val="24"/>
          <w:szCs w:val="21"/>
        </w:rPr>
      </w:pPr>
    </w:p>
    <w:p w14:paraId="26D956F9">
      <w:pPr>
        <w:spacing w:line="460" w:lineRule="exact"/>
        <w:rPr>
          <w:rFonts w:ascii="仿宋" w:hAnsi="仿宋" w:eastAsia="仿宋" w:cs="仿宋"/>
          <w:bCs/>
          <w:sz w:val="24"/>
          <w:szCs w:val="21"/>
        </w:rPr>
      </w:pPr>
    </w:p>
    <w:p w14:paraId="784DC56E">
      <w:pPr>
        <w:pStyle w:val="12"/>
        <w:ind w:firstLine="480"/>
        <w:rPr>
          <w:rFonts w:ascii="仿宋" w:hAnsi="仿宋" w:eastAsia="仿宋" w:cs="仿宋"/>
          <w:bCs/>
          <w:sz w:val="24"/>
          <w:szCs w:val="21"/>
        </w:rPr>
      </w:pPr>
    </w:p>
    <w:p w14:paraId="045F50EA">
      <w:pPr>
        <w:rPr>
          <w:rFonts w:ascii="仿宋" w:hAnsi="仿宋" w:eastAsia="仿宋" w:cs="仿宋"/>
          <w:bCs/>
          <w:sz w:val="24"/>
          <w:szCs w:val="21"/>
        </w:rPr>
      </w:pPr>
    </w:p>
    <w:p w14:paraId="5E9EAD74">
      <w:pPr>
        <w:pStyle w:val="12"/>
        <w:ind w:firstLine="480"/>
        <w:rPr>
          <w:rFonts w:ascii="仿宋" w:hAnsi="仿宋" w:eastAsia="仿宋" w:cs="仿宋"/>
          <w:bCs/>
          <w:sz w:val="24"/>
          <w:szCs w:val="21"/>
        </w:rPr>
      </w:pPr>
    </w:p>
    <w:p w14:paraId="280921CC">
      <w:pPr>
        <w:rPr>
          <w:rFonts w:ascii="仿宋" w:hAnsi="仿宋" w:eastAsia="仿宋" w:cs="仿宋"/>
          <w:bCs/>
          <w:sz w:val="24"/>
          <w:szCs w:val="21"/>
        </w:rPr>
      </w:pPr>
    </w:p>
    <w:p w14:paraId="00E54D25">
      <w:pPr>
        <w:pStyle w:val="12"/>
        <w:ind w:firstLine="480"/>
        <w:rPr>
          <w:rFonts w:ascii="仿宋" w:hAnsi="仿宋" w:eastAsia="仿宋" w:cs="仿宋"/>
          <w:bCs/>
          <w:sz w:val="24"/>
          <w:szCs w:val="21"/>
        </w:rPr>
      </w:pPr>
    </w:p>
    <w:bookmarkEnd w:id="202"/>
    <w:bookmarkEnd w:id="203"/>
    <w:bookmarkEnd w:id="222"/>
    <w:p w14:paraId="14941463">
      <w:pPr>
        <w:jc w:val="left"/>
        <w:rPr>
          <w:rFonts w:ascii="仿宋" w:hAnsi="仿宋" w:eastAsia="仿宋" w:cs="仿宋"/>
          <w:b/>
          <w:sz w:val="24"/>
          <w:szCs w:val="24"/>
        </w:rPr>
      </w:pPr>
    </w:p>
    <w:p w14:paraId="49FBA3D5">
      <w:pPr>
        <w:pStyle w:val="12"/>
        <w:ind w:firstLine="482"/>
        <w:rPr>
          <w:rFonts w:ascii="仿宋" w:hAnsi="仿宋" w:eastAsia="仿宋" w:cs="仿宋"/>
          <w:b/>
          <w:sz w:val="24"/>
          <w:szCs w:val="24"/>
        </w:rPr>
      </w:pPr>
    </w:p>
    <w:p w14:paraId="1692F5D6">
      <w:pPr>
        <w:rPr>
          <w:rFonts w:ascii="仿宋" w:hAnsi="仿宋" w:eastAsia="仿宋" w:cs="仿宋"/>
        </w:rPr>
      </w:pPr>
    </w:p>
    <w:p w14:paraId="0BC866CC">
      <w:pPr>
        <w:pStyle w:val="12"/>
        <w:rPr>
          <w:rFonts w:ascii="仿宋" w:hAnsi="仿宋" w:eastAsia="仿宋" w:cs="仿宋"/>
        </w:rPr>
      </w:pPr>
    </w:p>
    <w:p w14:paraId="556066AA">
      <w:pPr>
        <w:jc w:val="left"/>
        <w:rPr>
          <w:rFonts w:ascii="仿宋" w:hAnsi="仿宋" w:eastAsia="仿宋" w:cs="仿宋"/>
          <w:b/>
          <w:sz w:val="28"/>
          <w:szCs w:val="28"/>
        </w:rPr>
      </w:pPr>
      <w:r>
        <w:rPr>
          <w:rFonts w:hint="eastAsia" w:ascii="仿宋" w:hAnsi="仿宋" w:eastAsia="仿宋" w:cs="仿宋"/>
          <w:b/>
          <w:sz w:val="28"/>
          <w:szCs w:val="28"/>
        </w:rPr>
        <w:t xml:space="preserve">附件12                 </w:t>
      </w:r>
    </w:p>
    <w:p w14:paraId="46C84239">
      <w:pPr>
        <w:jc w:val="center"/>
        <w:rPr>
          <w:rFonts w:ascii="仿宋" w:hAnsi="仿宋" w:eastAsia="仿宋" w:cs="仿宋"/>
          <w:b/>
          <w:bCs/>
          <w:sz w:val="28"/>
          <w:szCs w:val="28"/>
        </w:rPr>
      </w:pPr>
      <w:r>
        <w:rPr>
          <w:rFonts w:hint="eastAsia" w:ascii="仿宋" w:hAnsi="仿宋" w:eastAsia="仿宋" w:cs="仿宋"/>
          <w:b/>
          <w:bCs/>
          <w:sz w:val="28"/>
          <w:szCs w:val="28"/>
        </w:rPr>
        <w:t>质疑函范本</w:t>
      </w:r>
    </w:p>
    <w:p w14:paraId="061E9F63">
      <w:pPr>
        <w:adjustRightInd w:val="0"/>
        <w:snapToGrid w:val="0"/>
        <w:spacing w:before="290" w:beforeLines="100" w:line="360" w:lineRule="auto"/>
        <w:rPr>
          <w:rFonts w:ascii="仿宋" w:hAnsi="仿宋" w:eastAsia="仿宋" w:cs="仿宋"/>
          <w:bCs/>
          <w:sz w:val="24"/>
          <w:szCs w:val="24"/>
        </w:rPr>
      </w:pPr>
      <w:r>
        <w:rPr>
          <w:rFonts w:hint="eastAsia" w:ascii="仿宋" w:hAnsi="仿宋" w:eastAsia="仿宋" w:cs="仿宋"/>
          <w:bCs/>
          <w:sz w:val="24"/>
          <w:szCs w:val="24"/>
        </w:rPr>
        <w:t>一、质疑供应商基本信息</w:t>
      </w:r>
    </w:p>
    <w:p w14:paraId="3AB4C0D4">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质疑供应商：</w:t>
      </w:r>
      <w:r>
        <w:rPr>
          <w:rFonts w:hint="eastAsia" w:ascii="仿宋" w:hAnsi="仿宋" w:eastAsia="仿宋" w:cs="仿宋"/>
          <w:sz w:val="24"/>
          <w:szCs w:val="24"/>
          <w:u w:val="dotted"/>
        </w:rPr>
        <w:t xml:space="preserve">                                                              </w:t>
      </w:r>
    </w:p>
    <w:p w14:paraId="19BD3CD9">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3776B484">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u w:val="dotted"/>
        </w:rPr>
        <w:t xml:space="preserve">                      </w:t>
      </w: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220B1F7C">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授权代表：</w:t>
      </w:r>
      <w:r>
        <w:rPr>
          <w:rFonts w:hint="eastAsia" w:ascii="仿宋" w:hAnsi="仿宋" w:eastAsia="仿宋" w:cs="仿宋"/>
          <w:sz w:val="24"/>
          <w:szCs w:val="24"/>
          <w:u w:val="dotted"/>
        </w:rPr>
        <w:t xml:space="preserve">                                                                 </w:t>
      </w:r>
    </w:p>
    <w:p w14:paraId="2F45221C">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1197ED5F">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17CA2FD7">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二、质疑项目基本情况</w:t>
      </w:r>
    </w:p>
    <w:p w14:paraId="3011336F">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质疑项目的名称：</w:t>
      </w:r>
      <w:r>
        <w:rPr>
          <w:rFonts w:hint="eastAsia" w:ascii="仿宋" w:hAnsi="仿宋" w:eastAsia="仿宋" w:cs="仿宋"/>
          <w:sz w:val="24"/>
          <w:szCs w:val="24"/>
          <w:u w:val="dotted"/>
        </w:rPr>
        <w:t xml:space="preserve">                                                          </w:t>
      </w:r>
    </w:p>
    <w:p w14:paraId="02D38454">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质疑项目的编号：</w:t>
      </w:r>
      <w:r>
        <w:rPr>
          <w:rFonts w:hint="eastAsia" w:ascii="仿宋" w:hAnsi="仿宋" w:eastAsia="仿宋" w:cs="仿宋"/>
          <w:sz w:val="24"/>
          <w:szCs w:val="24"/>
          <w:u w:val="dotted"/>
        </w:rPr>
        <w:t xml:space="preserve">                         </w:t>
      </w:r>
      <w:r>
        <w:rPr>
          <w:rFonts w:hint="eastAsia" w:ascii="仿宋" w:hAnsi="仿宋" w:eastAsia="仿宋" w:cs="仿宋"/>
          <w:sz w:val="24"/>
          <w:szCs w:val="24"/>
        </w:rPr>
        <w:t>包号：</w:t>
      </w:r>
      <w:r>
        <w:rPr>
          <w:rFonts w:hint="eastAsia" w:ascii="仿宋" w:hAnsi="仿宋" w:eastAsia="仿宋" w:cs="仿宋"/>
          <w:sz w:val="24"/>
          <w:szCs w:val="24"/>
          <w:u w:val="dotted"/>
        </w:rPr>
        <w:t xml:space="preserve">                           </w:t>
      </w:r>
    </w:p>
    <w:p w14:paraId="04C3F4CB">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采购人名称：</w:t>
      </w:r>
      <w:r>
        <w:rPr>
          <w:rFonts w:hint="eastAsia" w:ascii="仿宋" w:hAnsi="仿宋" w:eastAsia="仿宋" w:cs="仿宋"/>
          <w:sz w:val="24"/>
          <w:szCs w:val="24"/>
          <w:u w:val="dotted"/>
        </w:rPr>
        <w:t xml:space="preserve">                                                              </w:t>
      </w:r>
    </w:p>
    <w:p w14:paraId="266AC54F">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采购文件获取日期：</w:t>
      </w:r>
      <w:r>
        <w:rPr>
          <w:rFonts w:hint="eastAsia" w:ascii="仿宋" w:hAnsi="仿宋" w:eastAsia="仿宋" w:cs="仿宋"/>
          <w:sz w:val="24"/>
          <w:szCs w:val="24"/>
          <w:u w:val="dotted"/>
        </w:rPr>
        <w:t xml:space="preserve">                                                        </w:t>
      </w:r>
    </w:p>
    <w:p w14:paraId="30C1FAB4">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三、质疑事项具体内容</w:t>
      </w:r>
    </w:p>
    <w:p w14:paraId="0D54D74B">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质疑事项1：</w:t>
      </w:r>
      <w:r>
        <w:rPr>
          <w:rFonts w:hint="eastAsia" w:ascii="仿宋" w:hAnsi="仿宋" w:eastAsia="仿宋" w:cs="仿宋"/>
          <w:sz w:val="24"/>
          <w:szCs w:val="24"/>
          <w:u w:val="dotted"/>
        </w:rPr>
        <w:t xml:space="preserve">                                                              </w:t>
      </w:r>
    </w:p>
    <w:p w14:paraId="6DDFABC5">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事实依据：</w:t>
      </w:r>
      <w:r>
        <w:rPr>
          <w:rFonts w:hint="eastAsia" w:ascii="仿宋" w:hAnsi="仿宋" w:eastAsia="仿宋" w:cs="仿宋"/>
          <w:sz w:val="24"/>
          <w:szCs w:val="24"/>
          <w:u w:val="dotted"/>
        </w:rPr>
        <w:t xml:space="preserve">                                                                </w:t>
      </w:r>
    </w:p>
    <w:p w14:paraId="34285B8A">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u w:val="dotted"/>
        </w:rPr>
        <w:t xml:space="preserve">                                                                           </w:t>
      </w:r>
    </w:p>
    <w:p w14:paraId="2CE4A40C">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法律依据：</w:t>
      </w:r>
      <w:r>
        <w:rPr>
          <w:rFonts w:hint="eastAsia" w:ascii="仿宋" w:hAnsi="仿宋" w:eastAsia="仿宋" w:cs="仿宋"/>
          <w:sz w:val="24"/>
          <w:szCs w:val="24"/>
          <w:u w:val="dotted"/>
        </w:rPr>
        <w:t xml:space="preserve">                                                                 </w:t>
      </w:r>
    </w:p>
    <w:p w14:paraId="1B8082B0">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u w:val="dotted"/>
        </w:rPr>
        <w:t xml:space="preserve">                                                                           </w:t>
      </w:r>
    </w:p>
    <w:p w14:paraId="32E06A5D">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质疑事项2</w:t>
      </w:r>
    </w:p>
    <w:p w14:paraId="52DC3F05">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w:t>
      </w:r>
    </w:p>
    <w:p w14:paraId="4C3831F0">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四、与质疑事项相关的质疑请求</w:t>
      </w:r>
    </w:p>
    <w:p w14:paraId="23357859">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请求：</w:t>
      </w:r>
      <w:r>
        <w:rPr>
          <w:rFonts w:hint="eastAsia" w:ascii="仿宋" w:hAnsi="仿宋" w:eastAsia="仿宋" w:cs="仿宋"/>
          <w:sz w:val="24"/>
          <w:szCs w:val="24"/>
          <w:u w:val="dotted"/>
        </w:rPr>
        <w:t xml:space="preserve">                                                                     </w:t>
      </w:r>
    </w:p>
    <w:p w14:paraId="29390EE3">
      <w:pPr>
        <w:rPr>
          <w:rFonts w:ascii="仿宋" w:hAnsi="仿宋" w:eastAsia="仿宋" w:cs="仿宋"/>
          <w:sz w:val="24"/>
          <w:szCs w:val="24"/>
        </w:rPr>
      </w:pPr>
      <w:r>
        <w:rPr>
          <w:rFonts w:hint="eastAsia" w:ascii="仿宋" w:hAnsi="仿宋" w:eastAsia="仿宋" w:cs="仿宋"/>
          <w:sz w:val="24"/>
          <w:szCs w:val="24"/>
        </w:rPr>
        <w:t xml:space="preserve">签字(签章)：                   公章：                      </w:t>
      </w:r>
    </w:p>
    <w:p w14:paraId="50144AA2">
      <w:pPr>
        <w:rPr>
          <w:rFonts w:ascii="仿宋" w:hAnsi="仿宋" w:eastAsia="仿宋" w:cs="仿宋"/>
          <w:sz w:val="24"/>
          <w:szCs w:val="24"/>
        </w:rPr>
      </w:pPr>
      <w:r>
        <w:rPr>
          <w:rFonts w:hint="eastAsia" w:ascii="仿宋" w:hAnsi="仿宋" w:eastAsia="仿宋" w:cs="仿宋"/>
          <w:sz w:val="24"/>
          <w:szCs w:val="24"/>
        </w:rPr>
        <w:t xml:space="preserve">日期：    </w:t>
      </w:r>
    </w:p>
    <w:p w14:paraId="0680FA18">
      <w:pPr>
        <w:spacing w:line="400" w:lineRule="exact"/>
        <w:rPr>
          <w:rFonts w:ascii="仿宋" w:hAnsi="仿宋" w:eastAsia="仿宋" w:cs="仿宋"/>
          <w:b/>
          <w:sz w:val="24"/>
          <w:szCs w:val="24"/>
        </w:rPr>
      </w:pPr>
      <w:r>
        <w:rPr>
          <w:rFonts w:hint="eastAsia" w:ascii="仿宋" w:hAnsi="仿宋" w:eastAsia="仿宋" w:cs="仿宋"/>
          <w:b/>
          <w:sz w:val="24"/>
          <w:szCs w:val="24"/>
        </w:rPr>
        <w:t>质疑函制作说明：</w:t>
      </w:r>
    </w:p>
    <w:p w14:paraId="08F401B4">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22D41884">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w:t>
      </w:r>
      <w:r>
        <w:rPr>
          <w:rFonts w:hint="eastAsia" w:ascii="仿宋" w:hAnsi="仿宋" w:eastAsia="仿宋" w:cs="仿宋"/>
          <w:kern w:val="0"/>
          <w:sz w:val="24"/>
          <w:szCs w:val="24"/>
        </w:rPr>
        <w:t>供应商签署的授权委托书。授权委托书应载明代理人的姓名或者名称、代理事项、具体权限、期限和相关事项。</w:t>
      </w:r>
    </w:p>
    <w:p w14:paraId="62BF1BFE">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0FBCC340">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0EF0CC2C">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5.质疑函的质疑请求应与质疑事项相关。</w:t>
      </w:r>
    </w:p>
    <w:p w14:paraId="30671889">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6.质疑供应商为自然人的，质疑函应由本人签字；质疑供应商为法人或者其他组织的，质疑函应由法定代表人、主要负责人，或者其授权代表签字或者盖章，并加盖公章。</w:t>
      </w:r>
    </w:p>
    <w:p w14:paraId="7622C9DD">
      <w:pPr>
        <w:ind w:firstLine="420"/>
        <w:rPr>
          <w:rFonts w:ascii="仿宋" w:hAnsi="仿宋" w:eastAsia="仿宋" w:cs="仿宋"/>
          <w:sz w:val="24"/>
          <w:szCs w:val="24"/>
        </w:rPr>
      </w:pPr>
    </w:p>
    <w:p w14:paraId="47F30DB8">
      <w:pPr>
        <w:ind w:firstLine="420"/>
        <w:rPr>
          <w:rFonts w:ascii="仿宋" w:hAnsi="仿宋" w:eastAsia="仿宋" w:cs="仿宋"/>
          <w:sz w:val="24"/>
          <w:szCs w:val="24"/>
        </w:rPr>
      </w:pPr>
    </w:p>
    <w:p w14:paraId="79270846">
      <w:pPr>
        <w:ind w:firstLine="420"/>
        <w:rPr>
          <w:rFonts w:ascii="仿宋" w:hAnsi="仿宋" w:eastAsia="仿宋" w:cs="仿宋"/>
          <w:sz w:val="24"/>
          <w:szCs w:val="24"/>
        </w:rPr>
      </w:pPr>
    </w:p>
    <w:p w14:paraId="42F8C660">
      <w:pPr>
        <w:ind w:firstLine="420"/>
        <w:rPr>
          <w:rFonts w:ascii="仿宋" w:hAnsi="仿宋" w:eastAsia="仿宋" w:cs="仿宋"/>
          <w:sz w:val="24"/>
          <w:szCs w:val="24"/>
        </w:rPr>
      </w:pPr>
    </w:p>
    <w:p w14:paraId="07F08684">
      <w:pPr>
        <w:ind w:firstLine="420"/>
        <w:rPr>
          <w:rFonts w:ascii="仿宋" w:hAnsi="仿宋" w:eastAsia="仿宋" w:cs="仿宋"/>
          <w:sz w:val="24"/>
          <w:szCs w:val="24"/>
        </w:rPr>
      </w:pPr>
    </w:p>
    <w:p w14:paraId="1B6974AA">
      <w:pPr>
        <w:ind w:firstLine="420"/>
        <w:rPr>
          <w:rFonts w:ascii="仿宋" w:hAnsi="仿宋" w:eastAsia="仿宋" w:cs="仿宋"/>
          <w:sz w:val="24"/>
          <w:szCs w:val="24"/>
        </w:rPr>
      </w:pPr>
    </w:p>
    <w:p w14:paraId="50B840FA">
      <w:pPr>
        <w:ind w:firstLine="420"/>
        <w:rPr>
          <w:rFonts w:ascii="仿宋" w:hAnsi="仿宋" w:eastAsia="仿宋" w:cs="仿宋"/>
          <w:sz w:val="24"/>
          <w:szCs w:val="24"/>
        </w:rPr>
      </w:pPr>
    </w:p>
    <w:p w14:paraId="4E527B02">
      <w:pPr>
        <w:ind w:firstLine="420"/>
        <w:rPr>
          <w:rFonts w:ascii="仿宋" w:hAnsi="仿宋" w:eastAsia="仿宋" w:cs="仿宋"/>
          <w:sz w:val="24"/>
          <w:szCs w:val="24"/>
        </w:rPr>
      </w:pPr>
    </w:p>
    <w:p w14:paraId="43047161">
      <w:pPr>
        <w:ind w:firstLine="420"/>
        <w:rPr>
          <w:rFonts w:ascii="仿宋" w:hAnsi="仿宋" w:eastAsia="仿宋" w:cs="仿宋"/>
          <w:sz w:val="24"/>
          <w:szCs w:val="24"/>
        </w:rPr>
      </w:pPr>
    </w:p>
    <w:p w14:paraId="35476667">
      <w:pPr>
        <w:ind w:firstLine="420"/>
        <w:rPr>
          <w:rFonts w:ascii="仿宋" w:hAnsi="仿宋" w:eastAsia="仿宋" w:cs="仿宋"/>
          <w:sz w:val="24"/>
          <w:szCs w:val="24"/>
        </w:rPr>
      </w:pPr>
    </w:p>
    <w:p w14:paraId="438450C6">
      <w:pPr>
        <w:ind w:firstLine="420"/>
        <w:rPr>
          <w:rFonts w:ascii="仿宋" w:hAnsi="仿宋" w:eastAsia="仿宋" w:cs="仿宋"/>
          <w:sz w:val="24"/>
          <w:szCs w:val="24"/>
        </w:rPr>
      </w:pPr>
    </w:p>
    <w:p w14:paraId="55F5738D">
      <w:pPr>
        <w:ind w:firstLine="420"/>
        <w:rPr>
          <w:rFonts w:ascii="仿宋" w:hAnsi="仿宋" w:eastAsia="仿宋" w:cs="仿宋"/>
          <w:sz w:val="24"/>
          <w:szCs w:val="24"/>
        </w:rPr>
      </w:pPr>
    </w:p>
    <w:p w14:paraId="6564B09C">
      <w:pPr>
        <w:ind w:firstLine="420"/>
        <w:rPr>
          <w:rFonts w:ascii="仿宋" w:hAnsi="仿宋" w:eastAsia="仿宋" w:cs="仿宋"/>
          <w:sz w:val="24"/>
          <w:szCs w:val="24"/>
        </w:rPr>
      </w:pPr>
    </w:p>
    <w:p w14:paraId="1B06ED8D">
      <w:pPr>
        <w:ind w:firstLine="420"/>
        <w:rPr>
          <w:rFonts w:ascii="仿宋" w:hAnsi="仿宋" w:eastAsia="仿宋" w:cs="仿宋"/>
          <w:sz w:val="24"/>
          <w:szCs w:val="24"/>
        </w:rPr>
      </w:pPr>
    </w:p>
    <w:p w14:paraId="75681F92">
      <w:pPr>
        <w:ind w:firstLine="420"/>
        <w:rPr>
          <w:rFonts w:ascii="仿宋" w:hAnsi="仿宋" w:eastAsia="仿宋" w:cs="仿宋"/>
          <w:sz w:val="24"/>
          <w:szCs w:val="24"/>
        </w:rPr>
      </w:pPr>
    </w:p>
    <w:p w14:paraId="15D6E152">
      <w:pPr>
        <w:ind w:firstLine="420"/>
        <w:rPr>
          <w:rFonts w:ascii="仿宋" w:hAnsi="仿宋" w:eastAsia="仿宋" w:cs="仿宋"/>
          <w:sz w:val="24"/>
          <w:szCs w:val="24"/>
        </w:rPr>
      </w:pPr>
    </w:p>
    <w:p w14:paraId="18FB4FAB">
      <w:pPr>
        <w:widowControl/>
        <w:spacing w:line="700" w:lineRule="exact"/>
        <w:jc w:val="left"/>
        <w:rPr>
          <w:rFonts w:ascii="仿宋" w:hAnsi="仿宋" w:eastAsia="仿宋" w:cs="仿宋"/>
          <w:kern w:val="0"/>
          <w:sz w:val="28"/>
          <w:szCs w:val="28"/>
          <w:lang w:bidi="ar"/>
        </w:rPr>
      </w:pPr>
    </w:p>
    <w:p w14:paraId="0709754D">
      <w:pPr>
        <w:widowControl/>
        <w:jc w:val="left"/>
        <w:outlineLvl w:val="0"/>
        <w:rPr>
          <w:rFonts w:ascii="仿宋" w:hAnsi="仿宋" w:eastAsia="仿宋" w:cs="仿宋"/>
          <w:b/>
          <w:bCs/>
          <w:kern w:val="0"/>
          <w:sz w:val="28"/>
          <w:szCs w:val="28"/>
          <w:lang w:bidi="ar"/>
        </w:rPr>
      </w:pPr>
      <w:bookmarkStart w:id="226" w:name="_Toc5831"/>
      <w:bookmarkStart w:id="227" w:name="_Toc31274"/>
      <w:bookmarkStart w:id="228" w:name="_Toc1372"/>
      <w:r>
        <w:rPr>
          <w:rFonts w:hint="eastAsia" w:ascii="仿宋" w:hAnsi="仿宋" w:eastAsia="仿宋" w:cs="仿宋"/>
          <w:b/>
          <w:bCs/>
          <w:kern w:val="0"/>
          <w:sz w:val="28"/>
          <w:szCs w:val="28"/>
          <w:lang w:bidi="ar"/>
        </w:rPr>
        <w:t>附件1</w:t>
      </w:r>
      <w:bookmarkEnd w:id="226"/>
      <w:bookmarkEnd w:id="227"/>
      <w:bookmarkEnd w:id="228"/>
      <w:r>
        <w:rPr>
          <w:rFonts w:hint="eastAsia" w:ascii="仿宋" w:hAnsi="仿宋" w:eastAsia="仿宋" w:cs="仿宋"/>
          <w:b/>
          <w:bCs/>
          <w:kern w:val="0"/>
          <w:sz w:val="28"/>
          <w:szCs w:val="28"/>
          <w:lang w:bidi="ar"/>
        </w:rPr>
        <w:t>3</w:t>
      </w:r>
    </w:p>
    <w:p w14:paraId="6FB28391">
      <w:pPr>
        <w:jc w:val="center"/>
        <w:rPr>
          <w:rFonts w:ascii="仿宋" w:hAnsi="仿宋" w:eastAsia="仿宋" w:cs="仿宋"/>
          <w:b/>
          <w:bCs/>
          <w:sz w:val="28"/>
          <w:szCs w:val="28"/>
        </w:rPr>
      </w:pPr>
      <w:r>
        <w:rPr>
          <w:rFonts w:hint="eastAsia" w:ascii="仿宋" w:hAnsi="仿宋" w:eastAsia="仿宋" w:cs="仿宋"/>
          <w:b/>
          <w:bCs/>
          <w:sz w:val="28"/>
          <w:szCs w:val="28"/>
        </w:rPr>
        <w:t>办理政采贷和履约保函（保险）告知函</w:t>
      </w:r>
    </w:p>
    <w:p w14:paraId="30E4907A">
      <w:pPr>
        <w:rPr>
          <w:rFonts w:ascii="仿宋" w:hAnsi="仿宋" w:eastAsia="仿宋" w:cs="仿宋"/>
          <w:sz w:val="24"/>
          <w:szCs w:val="24"/>
        </w:rPr>
      </w:pPr>
    </w:p>
    <w:p w14:paraId="01B1B4BF">
      <w:pPr>
        <w:rPr>
          <w:rFonts w:ascii="仿宋" w:hAnsi="仿宋" w:eastAsia="仿宋" w:cs="仿宋"/>
          <w:sz w:val="24"/>
          <w:szCs w:val="24"/>
        </w:rPr>
      </w:pPr>
      <w:r>
        <w:rPr>
          <w:rFonts w:hint="eastAsia" w:ascii="仿宋" w:hAnsi="仿宋" w:eastAsia="仿宋" w:cs="仿宋"/>
          <w:sz w:val="24"/>
          <w:szCs w:val="24"/>
        </w:rPr>
        <w:t>各政府采购供应商：</w:t>
      </w:r>
    </w:p>
    <w:p w14:paraId="26B684C6">
      <w:pPr>
        <w:ind w:firstLine="480" w:firstLineChars="200"/>
        <w:rPr>
          <w:rFonts w:ascii="仿宋" w:hAnsi="仿宋" w:eastAsia="仿宋" w:cs="仿宋"/>
          <w:sz w:val="24"/>
          <w:szCs w:val="24"/>
        </w:rPr>
      </w:pPr>
      <w:r>
        <w:rPr>
          <w:rFonts w:hint="eastAsia" w:ascii="仿宋" w:hAnsi="仿宋" w:eastAsia="仿宋" w:cs="仿宋"/>
          <w:sz w:val="24"/>
          <w:szCs w:val="24"/>
        </w:rPr>
        <w:t>欢迎贵公司参与南通市政府采购活动！</w:t>
      </w:r>
    </w:p>
    <w:p w14:paraId="0E65CF35">
      <w:pPr>
        <w:ind w:firstLine="480" w:firstLineChars="200"/>
        <w:rPr>
          <w:rFonts w:ascii="仿宋" w:hAnsi="仿宋" w:eastAsia="仿宋" w:cs="仿宋"/>
          <w:sz w:val="24"/>
          <w:szCs w:val="24"/>
        </w:rPr>
      </w:pPr>
      <w:r>
        <w:rPr>
          <w:rFonts w:hint="eastAsia" w:ascii="仿宋" w:hAnsi="仿宋" w:eastAsia="仿宋" w:cs="仿宋"/>
          <w:sz w:val="24"/>
          <w:szCs w:val="24"/>
        </w:rPr>
        <w:t>政府采购线上合同信用融资和履约保函（保险）是支持企业发展，针对参与政府采购活动的企业融资难、现金流不足等问题推出的一项服务举措。</w:t>
      </w:r>
    </w:p>
    <w:p w14:paraId="1DFAAC8B">
      <w:pPr>
        <w:ind w:firstLine="480" w:firstLineChars="200"/>
        <w:rPr>
          <w:rFonts w:ascii="仿宋" w:hAnsi="仿宋" w:eastAsia="仿宋" w:cs="仿宋"/>
          <w:sz w:val="24"/>
          <w:szCs w:val="24"/>
        </w:rPr>
      </w:pPr>
      <w:r>
        <w:rPr>
          <w:rFonts w:hint="eastAsia" w:ascii="仿宋" w:hAnsi="仿宋" w:eastAsia="仿宋" w:cs="仿宋"/>
          <w:sz w:val="24"/>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仿宋" w:hAnsi="仿宋" w:eastAsia="仿宋" w:cs="仿宋"/>
          <w:color w:val="FF0000"/>
          <w:sz w:val="24"/>
          <w:szCs w:val="24"/>
        </w:rPr>
        <w:t>〔2023〕</w:t>
      </w:r>
      <w:r>
        <w:rPr>
          <w:rFonts w:hint="eastAsia" w:ascii="仿宋" w:hAnsi="仿宋" w:eastAsia="仿宋" w:cs="仿宋"/>
          <w:sz w:val="24"/>
          <w:szCs w:val="24"/>
        </w:rPr>
        <w:t>57号）和《关于深入开展南通市政府采购线上合同信用融资业务的通知》（通财购</w:t>
      </w:r>
      <w:r>
        <w:rPr>
          <w:rFonts w:hint="eastAsia" w:ascii="仿宋" w:hAnsi="仿宋" w:eastAsia="仿宋" w:cs="仿宋"/>
          <w:color w:val="FF0000"/>
          <w:sz w:val="24"/>
          <w:szCs w:val="24"/>
        </w:rPr>
        <w:t>〔2022〕</w:t>
      </w:r>
      <w:r>
        <w:rPr>
          <w:rFonts w:hint="eastAsia" w:ascii="仿宋" w:hAnsi="仿宋" w:eastAsia="仿宋" w:cs="仿宋"/>
          <w:sz w:val="24"/>
          <w:szCs w:val="24"/>
        </w:rPr>
        <w:t>68号），按照双方自愿的原则提供便捷、优惠的服务。</w:t>
      </w:r>
    </w:p>
    <w:p w14:paraId="6266AC7D">
      <w:pPr>
        <w:rPr>
          <w:rFonts w:ascii="仿宋" w:hAnsi="仿宋" w:eastAsia="仿宋" w:cs="仿宋"/>
          <w:sz w:val="24"/>
          <w:szCs w:val="24"/>
        </w:rPr>
      </w:pPr>
    </w:p>
    <w:p w14:paraId="50C548BF">
      <w:pPr>
        <w:snapToGrid w:val="0"/>
        <w:spacing w:line="300" w:lineRule="auto"/>
        <w:rPr>
          <w:rFonts w:ascii="仿宋" w:hAnsi="仿宋" w:eastAsia="仿宋" w:cs="仿宋"/>
          <w:sz w:val="24"/>
          <w:szCs w:val="24"/>
        </w:rPr>
      </w:pPr>
    </w:p>
    <w:p w14:paraId="2B7FBA72">
      <w:pPr>
        <w:rPr>
          <w:rFonts w:ascii="仿宋" w:hAnsi="仿宋" w:eastAsia="仿宋" w:cs="仿宋"/>
          <w:color w:val="FF0000"/>
          <w:kern w:val="0"/>
          <w:sz w:val="24"/>
          <w:szCs w:val="24"/>
          <w:lang w:val="zh-CN" w:bidi="ar"/>
        </w:rPr>
      </w:pPr>
    </w:p>
    <w:p w14:paraId="057B7393">
      <w:pPr>
        <w:rPr>
          <w:rFonts w:ascii="仿宋" w:hAnsi="仿宋" w:eastAsia="仿宋" w:cs="仿宋"/>
          <w:color w:val="FF0000"/>
          <w:kern w:val="0"/>
          <w:sz w:val="24"/>
          <w:szCs w:val="24"/>
          <w:lang w:val="zh-CN" w:bidi="ar"/>
        </w:rPr>
      </w:pPr>
    </w:p>
    <w:p w14:paraId="77FBF593">
      <w:pPr>
        <w:rPr>
          <w:rFonts w:ascii="仿宋" w:hAnsi="仿宋" w:eastAsia="仿宋" w:cs="仿宋"/>
        </w:rPr>
      </w:pPr>
    </w:p>
    <w:sectPr>
      <w:headerReference r:id="rId3" w:type="default"/>
      <w:footerReference r:id="rId4" w:type="default"/>
      <w:footerReference r:id="rId5" w:type="even"/>
      <w:pgSz w:w="11906" w:h="16838"/>
      <w:pgMar w:top="1418" w:right="1588" w:bottom="1418" w:left="1365" w:header="851" w:footer="907" w:gutter="0"/>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C9D76">
    <w:pPr>
      <w:pStyle w:val="8"/>
      <w:framePr w:wrap="around" w:vAnchor="text" w:hAnchor="margin" w:xAlign="center" w:y="1"/>
      <w:rPr>
        <w:rStyle w:val="15"/>
        <w:rFonts w:ascii="宋体" w:hAnsi="宋体"/>
      </w:rPr>
    </w:pPr>
    <w:r>
      <w:rPr>
        <w:rFonts w:ascii="宋体" w:hAnsi="宋体"/>
      </w:rPr>
      <w:fldChar w:fldCharType="begin"/>
    </w:r>
    <w:r>
      <w:rPr>
        <w:rStyle w:val="15"/>
        <w:rFonts w:ascii="宋体" w:hAnsi="宋体"/>
      </w:rPr>
      <w:instrText xml:space="preserve">PAGE  </w:instrText>
    </w:r>
    <w:r>
      <w:rPr>
        <w:rFonts w:ascii="宋体" w:hAnsi="宋体"/>
      </w:rPr>
      <w:fldChar w:fldCharType="separate"/>
    </w:r>
    <w:r>
      <w:rPr>
        <w:rStyle w:val="15"/>
        <w:rFonts w:ascii="宋体" w:hAnsi="宋体"/>
      </w:rPr>
      <w:t>５５</w:t>
    </w:r>
    <w:r>
      <w:rPr>
        <w:rFonts w:ascii="宋体" w:hAnsi="宋体"/>
      </w:rPr>
      <w:fldChar w:fldCharType="end"/>
    </w:r>
  </w:p>
  <w:p w14:paraId="02EB86E9">
    <w:pPr>
      <w:pStyle w:val="8"/>
      <w:jc w:val="center"/>
      <w:rPr>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1C8F8">
    <w:pPr>
      <w:pStyle w:val="8"/>
      <w:framePr w:wrap="around" w:vAnchor="text" w:hAnchor="margin" w:xAlign="center" w:y="1"/>
      <w:rPr>
        <w:rStyle w:val="15"/>
      </w:rPr>
    </w:pPr>
    <w:r>
      <w:fldChar w:fldCharType="begin"/>
    </w:r>
    <w:r>
      <w:rPr>
        <w:rStyle w:val="15"/>
      </w:rPr>
      <w:instrText xml:space="preserve">PAGE  </w:instrText>
    </w:r>
    <w:r>
      <w:fldChar w:fldCharType="separate"/>
    </w:r>
    <w:r>
      <w:rPr>
        <w:rStyle w:val="15"/>
      </w:rPr>
      <w:t>1</w:t>
    </w:r>
    <w:r>
      <w:fldChar w:fldCharType="end"/>
    </w:r>
  </w:p>
  <w:p w14:paraId="5405EBCC">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344E9">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21346A"/>
    <w:multiLevelType w:val="singleLevel"/>
    <w:tmpl w:val="9321346A"/>
    <w:lvl w:ilvl="0" w:tentative="0">
      <w:start w:val="6"/>
      <w:numFmt w:val="chineseCounting"/>
      <w:suff w:val="nothing"/>
      <w:lvlText w:val="（%1）"/>
      <w:lvlJc w:val="left"/>
      <w:rPr>
        <w:rFonts w:hint="eastAsia"/>
      </w:rPr>
    </w:lvl>
  </w:abstractNum>
  <w:abstractNum w:abstractNumId="1">
    <w:nsid w:val="D05BED7E"/>
    <w:multiLevelType w:val="singleLevel"/>
    <w:tmpl w:val="D05BED7E"/>
    <w:lvl w:ilvl="0" w:tentative="0">
      <w:start w:val="1"/>
      <w:numFmt w:val="decimal"/>
      <w:suff w:val="nothing"/>
      <w:lvlText w:val="（%1）"/>
      <w:lvlJc w:val="left"/>
    </w:lvl>
  </w:abstractNum>
  <w:abstractNum w:abstractNumId="2">
    <w:nsid w:val="142846E3"/>
    <w:multiLevelType w:val="singleLevel"/>
    <w:tmpl w:val="142846E3"/>
    <w:lvl w:ilvl="0" w:tentative="0">
      <w:start w:val="1"/>
      <w:numFmt w:val="decimal"/>
      <w:suff w:val="nothing"/>
      <w:lvlText w:val="（%1）"/>
      <w:lvlJc w:val="left"/>
    </w:lvl>
  </w:abstractNum>
  <w:abstractNum w:abstractNumId="3">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4ZTg0ZTFhZmJlY2Q4NDBhNjk5YzhhN2Q0NDYxYmYifQ=="/>
  </w:docVars>
  <w:rsids>
    <w:rsidRoot w:val="00206A2F"/>
    <w:rsid w:val="00084C3E"/>
    <w:rsid w:val="000D12A4"/>
    <w:rsid w:val="00206A2F"/>
    <w:rsid w:val="003769FA"/>
    <w:rsid w:val="003F6E37"/>
    <w:rsid w:val="00515CD3"/>
    <w:rsid w:val="005D43B9"/>
    <w:rsid w:val="005F2513"/>
    <w:rsid w:val="00600BA7"/>
    <w:rsid w:val="007C343C"/>
    <w:rsid w:val="00824300"/>
    <w:rsid w:val="008C06AB"/>
    <w:rsid w:val="00AD1020"/>
    <w:rsid w:val="00BF485E"/>
    <w:rsid w:val="00DA13DF"/>
    <w:rsid w:val="00E7283D"/>
    <w:rsid w:val="00F31FAB"/>
    <w:rsid w:val="017C4FF0"/>
    <w:rsid w:val="02214C74"/>
    <w:rsid w:val="0344587F"/>
    <w:rsid w:val="03C41AFF"/>
    <w:rsid w:val="04CE5A12"/>
    <w:rsid w:val="061344A4"/>
    <w:rsid w:val="07A962FD"/>
    <w:rsid w:val="07CA4C73"/>
    <w:rsid w:val="09065429"/>
    <w:rsid w:val="0AD16A09"/>
    <w:rsid w:val="0BE86F21"/>
    <w:rsid w:val="0CEA53E7"/>
    <w:rsid w:val="0EE20AF5"/>
    <w:rsid w:val="0FD846BA"/>
    <w:rsid w:val="10135CBB"/>
    <w:rsid w:val="123E53F2"/>
    <w:rsid w:val="12C2791A"/>
    <w:rsid w:val="13444ACC"/>
    <w:rsid w:val="13620E76"/>
    <w:rsid w:val="13BA3984"/>
    <w:rsid w:val="13C6058A"/>
    <w:rsid w:val="143F3BE0"/>
    <w:rsid w:val="15530ACB"/>
    <w:rsid w:val="15A502A1"/>
    <w:rsid w:val="15D7343C"/>
    <w:rsid w:val="15FA4976"/>
    <w:rsid w:val="163A30FB"/>
    <w:rsid w:val="17C02EE9"/>
    <w:rsid w:val="181E7986"/>
    <w:rsid w:val="182A10E9"/>
    <w:rsid w:val="18A137CE"/>
    <w:rsid w:val="18E436BB"/>
    <w:rsid w:val="19F7387B"/>
    <w:rsid w:val="1A460EDE"/>
    <w:rsid w:val="1A82318C"/>
    <w:rsid w:val="1B401424"/>
    <w:rsid w:val="1DF720A6"/>
    <w:rsid w:val="1E74103D"/>
    <w:rsid w:val="1E752EEF"/>
    <w:rsid w:val="1EDD6AA7"/>
    <w:rsid w:val="2057151D"/>
    <w:rsid w:val="220515EA"/>
    <w:rsid w:val="22314B08"/>
    <w:rsid w:val="224C560E"/>
    <w:rsid w:val="23B041A8"/>
    <w:rsid w:val="24372523"/>
    <w:rsid w:val="245B03A3"/>
    <w:rsid w:val="2547117D"/>
    <w:rsid w:val="2549034F"/>
    <w:rsid w:val="25BE3540"/>
    <w:rsid w:val="25C76A8F"/>
    <w:rsid w:val="272C5C49"/>
    <w:rsid w:val="28D76D98"/>
    <w:rsid w:val="293624D6"/>
    <w:rsid w:val="29712D49"/>
    <w:rsid w:val="29E87E1C"/>
    <w:rsid w:val="2A614B6C"/>
    <w:rsid w:val="2A706EC2"/>
    <w:rsid w:val="2AA96A88"/>
    <w:rsid w:val="2BBB392C"/>
    <w:rsid w:val="2C626300"/>
    <w:rsid w:val="2CE03A70"/>
    <w:rsid w:val="2E2B0B1B"/>
    <w:rsid w:val="2EB84F76"/>
    <w:rsid w:val="30155AC7"/>
    <w:rsid w:val="3038105A"/>
    <w:rsid w:val="311772E7"/>
    <w:rsid w:val="31D22CC8"/>
    <w:rsid w:val="32672238"/>
    <w:rsid w:val="326C6900"/>
    <w:rsid w:val="328C0BF4"/>
    <w:rsid w:val="32936470"/>
    <w:rsid w:val="333073B0"/>
    <w:rsid w:val="334B4707"/>
    <w:rsid w:val="34012F1B"/>
    <w:rsid w:val="34C62825"/>
    <w:rsid w:val="36256C53"/>
    <w:rsid w:val="3699799F"/>
    <w:rsid w:val="37285803"/>
    <w:rsid w:val="39433F1F"/>
    <w:rsid w:val="39B36A66"/>
    <w:rsid w:val="39E513A1"/>
    <w:rsid w:val="3A980F09"/>
    <w:rsid w:val="3B2B60ED"/>
    <w:rsid w:val="3BAC00DD"/>
    <w:rsid w:val="3C3C07B7"/>
    <w:rsid w:val="3D7D7AB7"/>
    <w:rsid w:val="3DEA2218"/>
    <w:rsid w:val="3FA431EA"/>
    <w:rsid w:val="42EE422E"/>
    <w:rsid w:val="435E3CFE"/>
    <w:rsid w:val="43D55C3A"/>
    <w:rsid w:val="4494071E"/>
    <w:rsid w:val="45A950DC"/>
    <w:rsid w:val="484B1CE0"/>
    <w:rsid w:val="48505475"/>
    <w:rsid w:val="485B09F4"/>
    <w:rsid w:val="4A0F2EC8"/>
    <w:rsid w:val="4A2C5863"/>
    <w:rsid w:val="4BE206F3"/>
    <w:rsid w:val="4C8319C3"/>
    <w:rsid w:val="4CCD3CC7"/>
    <w:rsid w:val="4D20220D"/>
    <w:rsid w:val="4FCD59FE"/>
    <w:rsid w:val="503A5C05"/>
    <w:rsid w:val="504B1B8A"/>
    <w:rsid w:val="51A77EDE"/>
    <w:rsid w:val="51B501AB"/>
    <w:rsid w:val="5201518A"/>
    <w:rsid w:val="52673F96"/>
    <w:rsid w:val="527562EF"/>
    <w:rsid w:val="529A0EEF"/>
    <w:rsid w:val="554B05B2"/>
    <w:rsid w:val="55A50FA0"/>
    <w:rsid w:val="567D2470"/>
    <w:rsid w:val="572313D4"/>
    <w:rsid w:val="58E872F4"/>
    <w:rsid w:val="59507837"/>
    <w:rsid w:val="59DE7EE3"/>
    <w:rsid w:val="5A971589"/>
    <w:rsid w:val="5AC81FAD"/>
    <w:rsid w:val="5AD216C7"/>
    <w:rsid w:val="5B9938B6"/>
    <w:rsid w:val="5D1A3B6A"/>
    <w:rsid w:val="5D4B4AF3"/>
    <w:rsid w:val="5EA04EE5"/>
    <w:rsid w:val="5ED16E62"/>
    <w:rsid w:val="6009581D"/>
    <w:rsid w:val="60AC7BE7"/>
    <w:rsid w:val="60CE7559"/>
    <w:rsid w:val="61330309"/>
    <w:rsid w:val="63F62410"/>
    <w:rsid w:val="641F1628"/>
    <w:rsid w:val="64554992"/>
    <w:rsid w:val="64D94D23"/>
    <w:rsid w:val="66F35119"/>
    <w:rsid w:val="67B87E05"/>
    <w:rsid w:val="67F106EB"/>
    <w:rsid w:val="682E0689"/>
    <w:rsid w:val="684626D0"/>
    <w:rsid w:val="69DD3AA7"/>
    <w:rsid w:val="69ED7DED"/>
    <w:rsid w:val="6A5B61FE"/>
    <w:rsid w:val="6A796495"/>
    <w:rsid w:val="6A8136AE"/>
    <w:rsid w:val="6C5926C3"/>
    <w:rsid w:val="6CB66B06"/>
    <w:rsid w:val="6CE82AF2"/>
    <w:rsid w:val="6E1668B6"/>
    <w:rsid w:val="6E507F98"/>
    <w:rsid w:val="6FF06255"/>
    <w:rsid w:val="7016206E"/>
    <w:rsid w:val="7033317E"/>
    <w:rsid w:val="70412606"/>
    <w:rsid w:val="71A42458"/>
    <w:rsid w:val="71AC6402"/>
    <w:rsid w:val="720672BB"/>
    <w:rsid w:val="72C12F55"/>
    <w:rsid w:val="72D84462"/>
    <w:rsid w:val="73382CE7"/>
    <w:rsid w:val="7368208E"/>
    <w:rsid w:val="74AE1D28"/>
    <w:rsid w:val="74C838E9"/>
    <w:rsid w:val="74C90AAB"/>
    <w:rsid w:val="74F742BA"/>
    <w:rsid w:val="750E37B4"/>
    <w:rsid w:val="760C6C42"/>
    <w:rsid w:val="76146F39"/>
    <w:rsid w:val="769B452E"/>
    <w:rsid w:val="7746477C"/>
    <w:rsid w:val="78745308"/>
    <w:rsid w:val="78A67D85"/>
    <w:rsid w:val="78FE51ED"/>
    <w:rsid w:val="7905550B"/>
    <w:rsid w:val="7A953D20"/>
    <w:rsid w:val="7AF82EA0"/>
    <w:rsid w:val="7B0A1B69"/>
    <w:rsid w:val="7B886ED2"/>
    <w:rsid w:val="7B910D77"/>
    <w:rsid w:val="7BB62F12"/>
    <w:rsid w:val="7C001DD1"/>
    <w:rsid w:val="7C127041"/>
    <w:rsid w:val="7C5A2796"/>
    <w:rsid w:val="7D8643DD"/>
    <w:rsid w:val="7E7E5C73"/>
    <w:rsid w:val="7EDE60C4"/>
    <w:rsid w:val="7F6A0B86"/>
    <w:rsid w:val="7F7406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b/>
      <w:bCs/>
      <w:kern w:val="0"/>
      <w:sz w:val="36"/>
      <w:szCs w:val="36"/>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楷体_GB2312" w:hAnsi="Arial" w:eastAsia="楷体_GB2312"/>
      <w:sz w:val="28"/>
      <w:szCs w:val="28"/>
    </w:rPr>
  </w:style>
  <w:style w:type="paragraph" w:styleId="4">
    <w:name w:val="annotation text"/>
    <w:basedOn w:val="1"/>
    <w:unhideWhenUsed/>
    <w:qFormat/>
    <w:uiPriority w:val="0"/>
    <w:pPr>
      <w:jc w:val="left"/>
    </w:pPr>
  </w:style>
  <w:style w:type="paragraph" w:styleId="5">
    <w:name w:val="Body Text Indent"/>
    <w:basedOn w:val="1"/>
    <w:next w:val="6"/>
    <w:unhideWhenUsed/>
    <w:qFormat/>
    <w:uiPriority w:val="0"/>
    <w:pPr>
      <w:spacing w:after="120"/>
      <w:ind w:left="420" w:leftChars="200"/>
    </w:pPr>
  </w:style>
  <w:style w:type="paragraph" w:styleId="6">
    <w:name w:val="envelope return"/>
    <w:basedOn w:val="1"/>
    <w:unhideWhenUsed/>
    <w:qFormat/>
    <w:uiPriority w:val="99"/>
    <w:rPr>
      <w:rFonts w:ascii="Arial" w:hAnsi="Arial" w:eastAsia="楷体_GB2312"/>
      <w:sz w:val="26"/>
      <w:szCs w:val="20"/>
    </w:rPr>
  </w:style>
  <w:style w:type="paragraph" w:styleId="7">
    <w:name w:val="Balloon Text"/>
    <w:basedOn w:val="1"/>
    <w:link w:val="26"/>
    <w:qFormat/>
    <w:uiPriority w:val="0"/>
    <w:rPr>
      <w:sz w:val="18"/>
      <w:szCs w:val="18"/>
    </w:rPr>
  </w:style>
  <w:style w:type="paragraph" w:styleId="8">
    <w:name w:val="footer"/>
    <w:basedOn w:val="1"/>
    <w:qFormat/>
    <w:uiPriority w:val="0"/>
    <w:pPr>
      <w:tabs>
        <w:tab w:val="center" w:pos="4153"/>
        <w:tab w:val="right" w:pos="8306"/>
      </w:tabs>
      <w:snapToGrid w:val="0"/>
      <w:jc w:val="left"/>
    </w:pPr>
    <w:rPr>
      <w:rFonts w:ascii="Times New Roman" w:hAnsi="Times New Roman"/>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10">
    <w:name w:val="toc 1"/>
    <w:basedOn w:val="1"/>
    <w:next w:val="1"/>
    <w:qFormat/>
    <w:uiPriority w:val="0"/>
  </w:style>
  <w:style w:type="paragraph" w:styleId="11">
    <w:name w:val="Normal (Web)"/>
    <w:basedOn w:val="1"/>
    <w:qFormat/>
    <w:uiPriority w:val="0"/>
    <w:rPr>
      <w:sz w:val="24"/>
    </w:rPr>
  </w:style>
  <w:style w:type="paragraph" w:styleId="12">
    <w:name w:val="Body Text First Indent 2"/>
    <w:basedOn w:val="5"/>
    <w:next w:val="1"/>
    <w:qFormat/>
    <w:uiPriority w:val="0"/>
    <w:pPr>
      <w:spacing w:after="0" w:line="360" w:lineRule="auto"/>
      <w:ind w:left="0" w:leftChars="0" w:firstLine="420" w:firstLineChars="200"/>
    </w:pPr>
    <w:rPr>
      <w:rFonts w:ascii="宋体" w:hAnsi="宋体"/>
      <w:szCs w:val="20"/>
    </w:rPr>
  </w:style>
  <w:style w:type="character" w:styleId="15">
    <w:name w:val="page number"/>
    <w:qFormat/>
    <w:uiPriority w:val="0"/>
  </w:style>
  <w:style w:type="character" w:styleId="16">
    <w:name w:val="annotation reference"/>
    <w:basedOn w:val="14"/>
    <w:qFormat/>
    <w:uiPriority w:val="0"/>
    <w:rPr>
      <w:sz w:val="21"/>
      <w:szCs w:val="21"/>
    </w:rPr>
  </w:style>
  <w:style w:type="paragraph" w:customStyle="1" w:styleId="17">
    <w:name w:val="目录 82"/>
    <w:next w:val="1"/>
    <w:qFormat/>
    <w:uiPriority w:val="0"/>
    <w:pPr>
      <w:wordWrap w:val="0"/>
      <w:ind w:left="2550"/>
      <w:jc w:val="both"/>
    </w:pPr>
    <w:rPr>
      <w:rFonts w:ascii="Calibri" w:hAnsi="Calibri" w:eastAsia="宋体" w:cs="Times New Roman"/>
      <w:sz w:val="21"/>
      <w:lang w:val="en-US" w:eastAsia="zh-CN" w:bidi="ar-SA"/>
    </w:rPr>
  </w:style>
  <w:style w:type="paragraph" w:customStyle="1" w:styleId="18">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19">
    <w:name w:val="WPSOffice手动目录 1"/>
    <w:qFormat/>
    <w:uiPriority w:val="0"/>
    <w:rPr>
      <w:rFonts w:ascii="Times New Roman" w:hAnsi="Times New Roman" w:eastAsia="宋体" w:cs="Times New Roman"/>
      <w:lang w:val="en-US" w:eastAsia="zh-CN" w:bidi="ar-SA"/>
    </w:rPr>
  </w:style>
  <w:style w:type="paragraph" w:customStyle="1" w:styleId="20">
    <w:name w:val="正文首行缩进11"/>
    <w:basedOn w:val="21"/>
    <w:qFormat/>
    <w:uiPriority w:val="0"/>
    <w:pPr>
      <w:spacing w:line="360" w:lineRule="auto"/>
      <w:ind w:firstLine="200"/>
    </w:pPr>
    <w:rPr>
      <w:rFonts w:ascii="仿宋_GB2312" w:eastAsia="仿宋_GB2312"/>
      <w:sz w:val="30"/>
      <w:szCs w:val="30"/>
    </w:rPr>
  </w:style>
  <w:style w:type="paragraph" w:customStyle="1" w:styleId="21">
    <w:name w:val="正文文本1"/>
    <w:basedOn w:val="1"/>
    <w:next w:val="1"/>
    <w:qFormat/>
    <w:uiPriority w:val="0"/>
    <w:rPr>
      <w:rFonts w:ascii="楷体_GB2312" w:hAnsi="Arial" w:eastAsia="楷体_GB2312"/>
      <w:sz w:val="28"/>
      <w:szCs w:val="28"/>
    </w:rPr>
  </w:style>
  <w:style w:type="paragraph" w:customStyle="1" w:styleId="22">
    <w:name w:val="正文首行缩进1"/>
    <w:basedOn w:val="23"/>
    <w:qFormat/>
    <w:uiPriority w:val="0"/>
    <w:pPr>
      <w:spacing w:after="120"/>
      <w:ind w:firstLine="420"/>
    </w:pPr>
    <w:rPr>
      <w:rFonts w:ascii="Times New Roman" w:eastAsia="宋体"/>
      <w:szCs w:val="24"/>
    </w:rPr>
  </w:style>
  <w:style w:type="paragraph" w:customStyle="1" w:styleId="23">
    <w:name w:val="正文文本11"/>
    <w:basedOn w:val="1"/>
    <w:next w:val="1"/>
    <w:qFormat/>
    <w:uiPriority w:val="0"/>
    <w:rPr>
      <w:rFonts w:ascii="楷体_GB2312" w:hAnsi="Arial" w:eastAsia="楷体_GB2312"/>
      <w:sz w:val="28"/>
      <w:szCs w:val="28"/>
    </w:rPr>
  </w:style>
  <w:style w:type="character" w:customStyle="1" w:styleId="24">
    <w:name w:val="s"/>
    <w:basedOn w:val="14"/>
    <w:qFormat/>
    <w:uiPriority w:val="0"/>
  </w:style>
  <w:style w:type="paragraph" w:customStyle="1" w:styleId="25">
    <w:name w:val="首行缩进"/>
    <w:basedOn w:val="1"/>
    <w:qFormat/>
    <w:uiPriority w:val="0"/>
    <w:rPr>
      <w:lang w:val="zh-CN"/>
    </w:rPr>
  </w:style>
  <w:style w:type="character" w:customStyle="1" w:styleId="26">
    <w:name w:val="批注框文本 Char"/>
    <w:basedOn w:val="14"/>
    <w:link w:val="7"/>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56</Pages>
  <Words>28285</Words>
  <Characters>29911</Characters>
  <Lines>231</Lines>
  <Paragraphs>65</Paragraphs>
  <TotalTime>51</TotalTime>
  <ScaleCrop>false</ScaleCrop>
  <LinksUpToDate>false</LinksUpToDate>
  <CharactersWithSpaces>32094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2025-12-10T07:13:00Z</dcterms:created>
  <dc:creator>user</dc:creator>
  <cp:lastModifiedBy>青争</cp:lastModifiedBy>
  <dcterms:modified xsi:type="dcterms:W3CDTF">2025-12-26T02:07:50Z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C39C598C477344C0871C2E8D63FD3856_13</vt:lpwstr>
  </property>
  <property fmtid="{D5CDD505-2E9C-101B-9397-08002B2CF9AE}" pid="4" name="KSOTemplateDocerSaveRecord">
    <vt:lpwstr>eyJoZGlkIjoiYjc0MTZkN2E1ZGQzZDNmMDAzNGQ1YjVjNWNjYzhiMWUiLCJ1c2VySWQiOiIxMjE3NjkyMDY3In0=</vt:lpwstr>
  </property>
</Properties>
</file>